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3641AD" w:rsidP="00471319">
            <w:pPr>
              <w:rPr>
                <w:rStyle w:val="Firstpagetablebold"/>
              </w:rPr>
            </w:pPr>
            <w:r>
              <w:rPr>
                <w:rStyle w:val="Firstpagetablebold"/>
              </w:rPr>
              <w:t>General Purposes Licensing</w:t>
            </w:r>
            <w:r w:rsidR="004D481B">
              <w:rPr>
                <w:rStyle w:val="Firstpagetablebold"/>
              </w:rPr>
              <w:t xml:space="preserve"> </w:t>
            </w:r>
            <w:r w:rsidR="008A43AA">
              <w:rPr>
                <w:rStyle w:val="Firstpagetablebold"/>
              </w:rPr>
              <w:t>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3641AD" w:rsidP="003641AD">
            <w:pPr>
              <w:rPr>
                <w:b/>
              </w:rPr>
            </w:pPr>
            <w:r>
              <w:rPr>
                <w:rStyle w:val="Firstpagetablebold"/>
              </w:rPr>
              <w:t>16 May 2017</w:t>
            </w:r>
            <w:r w:rsidR="003B7DA1">
              <w:rPr>
                <w:rStyle w:val="Firstpagetablebold"/>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3641AD" w:rsidP="004A6D2F">
            <w:pPr>
              <w:rPr>
                <w:rStyle w:val="Firstpagetablebold"/>
              </w:rPr>
            </w:pPr>
            <w:r>
              <w:rPr>
                <w:rStyle w:val="Firstpagetablebold"/>
              </w:rPr>
              <w:t>Acting 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3641AD" w:rsidP="003641AD">
            <w:pPr>
              <w:rPr>
                <w:rStyle w:val="Firstpagetablebold"/>
              </w:rPr>
            </w:pPr>
            <w:r w:rsidRPr="008E546D">
              <w:rPr>
                <w:rStyle w:val="Firstpagetablebold"/>
                <w:color w:val="auto"/>
              </w:rPr>
              <w:t>Appointment of General P</w:t>
            </w:r>
            <w:r w:rsidR="008E546D">
              <w:rPr>
                <w:rStyle w:val="Firstpagetablebold"/>
                <w:color w:val="auto"/>
              </w:rPr>
              <w:t>urpose Licensing</w:t>
            </w:r>
            <w:r w:rsidRPr="008E546D">
              <w:rPr>
                <w:rStyle w:val="Firstpagetablebold"/>
                <w:color w:val="auto"/>
              </w:rPr>
              <w:t xml:space="preserve"> Sub-Committees</w:t>
            </w:r>
            <w:r w:rsidR="00F445B1" w:rsidRPr="003641AD">
              <w:rPr>
                <w:rStyle w:val="Firstpagetablebold"/>
                <w:color w:val="FF0000"/>
              </w:rPr>
              <w:t xml:space="preserve"> </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3641AD" w:rsidP="000F4751">
            <w:r w:rsidRPr="003641AD">
              <w:t>To establish 4 sub-committees for the 2017-18 Council Year to deal with the casework flowing from the Committee’s own responsibilities.</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3641AD" w:rsidP="000F4751">
            <w:r>
              <w:t>none</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3641AD" w:rsidP="00D57F03">
            <w:r>
              <w:t>none</w:t>
            </w:r>
          </w:p>
        </w:tc>
      </w:tr>
      <w:tr w:rsidR="005F7F7E" w:rsidRPr="00975B07" w:rsidTr="00BD370E">
        <w:trPr>
          <w:trHeight w:val="413"/>
        </w:trPr>
        <w:tc>
          <w:tcPr>
            <w:tcW w:w="9356" w:type="dxa"/>
            <w:gridSpan w:val="3"/>
            <w:tcBorders>
              <w:bottom w:val="single" w:sz="4" w:space="0" w:color="auto"/>
            </w:tcBorders>
          </w:tcPr>
          <w:p w:rsidR="005F7F7E" w:rsidRPr="00975B07" w:rsidRDefault="00BD370E" w:rsidP="00C44BAE">
            <w:r>
              <w:rPr>
                <w:rStyle w:val="Firstpagetablebold"/>
              </w:rPr>
              <w:t>Recommendations</w:t>
            </w:r>
            <w:r w:rsidR="005F7F7E">
              <w:rPr>
                <w:rStyle w:val="Firstpagetablebold"/>
              </w:rPr>
              <w:t>:</w:t>
            </w:r>
            <w:r>
              <w:rPr>
                <w:rStyle w:val="Firstpagetablebold"/>
              </w:rPr>
              <w:t xml:space="preserve"> </w:t>
            </w:r>
            <w:r w:rsidR="005F7F7E" w:rsidRPr="008A43AA">
              <w:rPr>
                <w:rStyle w:val="Firstpagetablebold"/>
                <w:b w:val="0"/>
              </w:rPr>
              <w:t>That the</w:t>
            </w:r>
            <w:r w:rsidR="008A43AA" w:rsidRPr="008A43AA">
              <w:rPr>
                <w:rStyle w:val="Firstpagetablebold"/>
                <w:b w:val="0"/>
              </w:rPr>
              <w:t xml:space="preserve"> </w:t>
            </w:r>
            <w:r w:rsidR="003641AD" w:rsidRPr="003641AD">
              <w:rPr>
                <w:rStyle w:val="Firstpagetablebold"/>
                <w:b w:val="0"/>
              </w:rPr>
              <w:t>General Purposes Licensing</w:t>
            </w:r>
            <w:r w:rsidR="005F7F7E" w:rsidRPr="008A43AA">
              <w:rPr>
                <w:rStyle w:val="Firstpagetablebold"/>
                <w:b w:val="0"/>
              </w:rPr>
              <w:t xml:space="preserve"> </w:t>
            </w:r>
            <w:r w:rsidR="008A43AA" w:rsidRPr="008A43AA">
              <w:rPr>
                <w:rStyle w:val="Firstpagetablebold"/>
                <w:b w:val="0"/>
              </w:rPr>
              <w:t xml:space="preserve">Committee </w:t>
            </w:r>
            <w:r w:rsidR="005F7F7E" w:rsidRPr="008A43AA">
              <w:rPr>
                <w:rStyle w:val="Firstpagetablebold"/>
                <w:b w:val="0"/>
              </w:rPr>
              <w:t>resolves to:</w:t>
            </w:r>
          </w:p>
        </w:tc>
      </w:tr>
      <w:tr w:rsidR="00D623A5" w:rsidRPr="00975B07" w:rsidTr="00BD370E">
        <w:trPr>
          <w:trHeight w:val="64"/>
        </w:trPr>
        <w:tc>
          <w:tcPr>
            <w:tcW w:w="426" w:type="dxa"/>
            <w:tcBorders>
              <w:top w:val="single" w:sz="4" w:space="0" w:color="auto"/>
              <w:left w:val="single" w:sz="4" w:space="0" w:color="auto"/>
              <w:bottom w:val="nil"/>
              <w:right w:val="nil"/>
            </w:tcBorders>
          </w:tcPr>
          <w:p w:rsidR="00D623A5" w:rsidRPr="00975B07" w:rsidRDefault="00BD370E" w:rsidP="00D623A5">
            <w:r>
              <w:t>1.</w:t>
            </w:r>
          </w:p>
        </w:tc>
        <w:tc>
          <w:tcPr>
            <w:tcW w:w="8930" w:type="dxa"/>
            <w:gridSpan w:val="2"/>
            <w:tcBorders>
              <w:top w:val="single" w:sz="4" w:space="0" w:color="auto"/>
              <w:left w:val="nil"/>
              <w:bottom w:val="nil"/>
              <w:right w:val="single" w:sz="4" w:space="0" w:color="auto"/>
            </w:tcBorders>
            <w:shd w:val="clear" w:color="auto" w:fill="auto"/>
          </w:tcPr>
          <w:p w:rsidR="00D623A5" w:rsidRPr="00A668B8" w:rsidRDefault="00D623A5" w:rsidP="00A668B8">
            <w:pPr>
              <w:rPr>
                <w:rStyle w:val="Firstpagetablebold"/>
              </w:rPr>
            </w:pPr>
            <w:r w:rsidRPr="00BD370E">
              <w:rPr>
                <w:rStyle w:val="Firstpagetablebold"/>
                <w:color w:val="auto"/>
              </w:rPr>
              <w:t>Agree</w:t>
            </w:r>
            <w:r w:rsidRPr="00A668B8">
              <w:rPr>
                <w:rStyle w:val="Firstpagetablebold"/>
                <w:b w:val="0"/>
                <w:color w:val="auto"/>
              </w:rPr>
              <w:t xml:space="preserve"> that the casework</w:t>
            </w:r>
            <w:r w:rsidR="00A668B8" w:rsidRPr="00A668B8">
              <w:rPr>
                <w:rStyle w:val="Firstpagetablebold"/>
                <w:b w:val="0"/>
                <w:color w:val="auto"/>
              </w:rPr>
              <w:t xml:space="preserve"> hearings</w:t>
            </w:r>
            <w:r w:rsidRPr="00A668B8">
              <w:rPr>
                <w:rStyle w:val="Firstpagetablebold"/>
                <w:b w:val="0"/>
                <w:color w:val="auto"/>
              </w:rPr>
              <w:t xml:space="preserve"> for</w:t>
            </w:r>
            <w:r w:rsidRPr="00A668B8">
              <w:rPr>
                <w:rStyle w:val="Firstpagetablebold"/>
                <w:color w:val="auto"/>
              </w:rPr>
              <w:t xml:space="preserve"> </w:t>
            </w:r>
            <w:r w:rsidR="00A668B8" w:rsidRPr="00A668B8">
              <w:rPr>
                <w:rFonts w:cs="Arial"/>
                <w:color w:val="auto"/>
              </w:rPr>
              <w:t xml:space="preserve">taxi, private hire or other driver or vehicle licences, </w:t>
            </w:r>
            <w:r w:rsidRPr="00A668B8">
              <w:rPr>
                <w:rStyle w:val="Firstpagetablebold"/>
                <w:b w:val="0"/>
                <w:color w:val="auto"/>
              </w:rPr>
              <w:t xml:space="preserve">street trading </w:t>
            </w:r>
            <w:r w:rsidR="00A668B8" w:rsidRPr="00A668B8">
              <w:rPr>
                <w:rStyle w:val="Firstpagetablebold"/>
                <w:b w:val="0"/>
                <w:color w:val="auto"/>
              </w:rPr>
              <w:t xml:space="preserve">licences </w:t>
            </w:r>
            <w:r w:rsidRPr="00A668B8">
              <w:rPr>
                <w:rStyle w:val="Firstpagetablebold"/>
                <w:b w:val="0"/>
                <w:color w:val="auto"/>
              </w:rPr>
              <w:t xml:space="preserve">and sex </w:t>
            </w:r>
            <w:r w:rsidR="00A668B8" w:rsidRPr="00A668B8">
              <w:rPr>
                <w:rStyle w:val="Firstpagetablebold"/>
                <w:b w:val="0"/>
                <w:color w:val="auto"/>
              </w:rPr>
              <w:t xml:space="preserve"> establishment licences </w:t>
            </w:r>
            <w:r w:rsidRPr="00A668B8">
              <w:rPr>
                <w:rStyle w:val="Firstpagetablebold"/>
                <w:b w:val="0"/>
                <w:color w:val="auto"/>
              </w:rPr>
              <w:t>should be determined by the same sub-committee</w:t>
            </w:r>
            <w:r w:rsidR="00A668B8" w:rsidRPr="00A668B8">
              <w:rPr>
                <w:rStyle w:val="Firstpagetablebold"/>
                <w:b w:val="0"/>
                <w:color w:val="auto"/>
              </w:rPr>
              <w:t>s</w:t>
            </w:r>
            <w:r w:rsidRPr="00A668B8">
              <w:rPr>
                <w:rStyle w:val="Firstpagetablebold"/>
                <w:b w:val="0"/>
                <w:color w:val="auto"/>
              </w:rPr>
              <w:t xml:space="preserve"> as set out in the</w:t>
            </w:r>
            <w:r w:rsidRPr="00A668B8">
              <w:rPr>
                <w:rStyle w:val="Firstpagetablebold"/>
                <w:color w:val="auto"/>
              </w:rPr>
              <w:t xml:space="preserve"> </w:t>
            </w:r>
            <w:r w:rsidR="00A668B8" w:rsidRPr="00A668B8">
              <w:rPr>
                <w:color w:val="auto"/>
              </w:rPr>
              <w:t>Powers and Duties of GPL Sub-Committees at</w:t>
            </w:r>
            <w:r w:rsidRPr="00A668B8">
              <w:rPr>
                <w:rStyle w:val="Firstpagetablebold"/>
                <w:color w:val="auto"/>
              </w:rPr>
              <w:t xml:space="preserve"> </w:t>
            </w:r>
            <w:r w:rsidRPr="00A668B8">
              <w:rPr>
                <w:rStyle w:val="Firstpagetablebold"/>
                <w:b w:val="0"/>
                <w:color w:val="auto"/>
              </w:rPr>
              <w:t>Appendix 1</w:t>
            </w:r>
            <w:r w:rsidR="00A668B8" w:rsidRPr="00A668B8">
              <w:rPr>
                <w:rStyle w:val="Firstpagetablebold"/>
                <w:b w:val="0"/>
                <w:color w:val="auto"/>
              </w:rPr>
              <w:t>.</w:t>
            </w:r>
          </w:p>
        </w:tc>
      </w:tr>
      <w:tr w:rsidR="0030208D" w:rsidRPr="00975B07" w:rsidTr="00BD370E">
        <w:trPr>
          <w:trHeight w:val="64"/>
        </w:trPr>
        <w:tc>
          <w:tcPr>
            <w:tcW w:w="426" w:type="dxa"/>
            <w:tcBorders>
              <w:top w:val="nil"/>
              <w:left w:val="single" w:sz="4" w:space="0" w:color="auto"/>
              <w:bottom w:val="nil"/>
              <w:right w:val="nil"/>
            </w:tcBorders>
          </w:tcPr>
          <w:p w:rsidR="0030208D" w:rsidRPr="00975B07" w:rsidRDefault="00BD370E" w:rsidP="004A6D2F">
            <w:r>
              <w:t>2</w:t>
            </w:r>
            <w:r w:rsidR="00046D2B" w:rsidRPr="00975B07">
              <w:t>.</w:t>
            </w:r>
          </w:p>
        </w:tc>
        <w:tc>
          <w:tcPr>
            <w:tcW w:w="8930" w:type="dxa"/>
            <w:gridSpan w:val="2"/>
            <w:tcBorders>
              <w:top w:val="nil"/>
              <w:left w:val="nil"/>
              <w:bottom w:val="nil"/>
              <w:right w:val="single" w:sz="4" w:space="0" w:color="auto"/>
            </w:tcBorders>
            <w:shd w:val="clear" w:color="auto" w:fill="auto"/>
          </w:tcPr>
          <w:p w:rsidR="0030208D" w:rsidRDefault="003641AD" w:rsidP="003641AD">
            <w:pPr>
              <w:rPr>
                <w:rStyle w:val="Firstpagetablebold"/>
                <w:b w:val="0"/>
              </w:rPr>
            </w:pPr>
            <w:r>
              <w:rPr>
                <w:rStyle w:val="Firstpagetablebold"/>
              </w:rPr>
              <w:t>E</w:t>
            </w:r>
            <w:r w:rsidRPr="003641AD">
              <w:rPr>
                <w:rStyle w:val="Firstpagetablebold"/>
              </w:rPr>
              <w:t xml:space="preserve">stablish </w:t>
            </w:r>
            <w:r w:rsidRPr="003641AD">
              <w:rPr>
                <w:rStyle w:val="Firstpagetablebold"/>
                <w:b w:val="0"/>
              </w:rPr>
              <w:t>4 politically-balanced sub-committees of 3 members each</w:t>
            </w:r>
            <w:r w:rsidR="00B70D0C">
              <w:rPr>
                <w:rStyle w:val="Firstpagetablebold"/>
                <w:b w:val="0"/>
              </w:rPr>
              <w:t xml:space="preserve"> t</w:t>
            </w:r>
            <w:r w:rsidR="00B70D0C" w:rsidRPr="003641AD">
              <w:rPr>
                <w:rStyle w:val="Firstpagetablebold"/>
                <w:b w:val="0"/>
              </w:rPr>
              <w:t>o undertake the casework of the G</w:t>
            </w:r>
            <w:r w:rsidR="00B70D0C">
              <w:rPr>
                <w:rStyle w:val="Firstpagetablebold"/>
                <w:b w:val="0"/>
              </w:rPr>
              <w:t xml:space="preserve">eneral </w:t>
            </w:r>
            <w:r w:rsidR="00B70D0C" w:rsidRPr="003641AD">
              <w:rPr>
                <w:rStyle w:val="Firstpagetablebold"/>
                <w:b w:val="0"/>
              </w:rPr>
              <w:t>P</w:t>
            </w:r>
            <w:r w:rsidR="00B70D0C">
              <w:rPr>
                <w:rStyle w:val="Firstpagetablebold"/>
                <w:b w:val="0"/>
              </w:rPr>
              <w:t xml:space="preserve">urposes </w:t>
            </w:r>
            <w:r w:rsidR="00B70D0C" w:rsidRPr="003641AD">
              <w:rPr>
                <w:rStyle w:val="Firstpagetablebold"/>
                <w:b w:val="0"/>
              </w:rPr>
              <w:t>L</w:t>
            </w:r>
            <w:r w:rsidR="00B70D0C">
              <w:rPr>
                <w:rStyle w:val="Firstpagetablebold"/>
                <w:b w:val="0"/>
              </w:rPr>
              <w:t>icensing Committee</w:t>
            </w:r>
            <w:r w:rsidR="00B70D0C" w:rsidRPr="003641AD">
              <w:rPr>
                <w:rStyle w:val="Firstpagetablebold"/>
                <w:b w:val="0"/>
              </w:rPr>
              <w:t xml:space="preserve"> as set out in Appendix </w:t>
            </w:r>
            <w:r w:rsidR="00B70D0C">
              <w:rPr>
                <w:rStyle w:val="Firstpagetablebold"/>
                <w:b w:val="0"/>
              </w:rPr>
              <w:t>1</w:t>
            </w:r>
            <w:r w:rsidRPr="003641AD">
              <w:rPr>
                <w:rStyle w:val="Firstpagetablebold"/>
                <w:b w:val="0"/>
              </w:rPr>
              <w:t>:</w:t>
            </w:r>
          </w:p>
          <w:p w:rsidR="003641AD" w:rsidRPr="00B70D0C" w:rsidRDefault="003641AD" w:rsidP="00B70D0C">
            <w:pPr>
              <w:pStyle w:val="ListParagraph"/>
              <w:numPr>
                <w:ilvl w:val="0"/>
                <w:numId w:val="43"/>
              </w:numPr>
              <w:rPr>
                <w:rStyle w:val="Firstpagetablebold"/>
                <w:b w:val="0"/>
              </w:rPr>
            </w:pPr>
            <w:r w:rsidRPr="00B70D0C">
              <w:rPr>
                <w:rStyle w:val="Firstpagetablebold"/>
                <w:b w:val="0"/>
              </w:rPr>
              <w:t xml:space="preserve">Sub- Committee A: </w:t>
            </w:r>
            <w:r w:rsidR="00887493" w:rsidRPr="00B70D0C">
              <w:rPr>
                <w:rStyle w:val="Firstpagetablebold"/>
                <w:b w:val="0"/>
              </w:rPr>
              <w:t xml:space="preserve">GPL </w:t>
            </w:r>
            <w:r w:rsidRPr="00B70D0C">
              <w:rPr>
                <w:rStyle w:val="Firstpagetablebold"/>
                <w:b w:val="0"/>
              </w:rPr>
              <w:t xml:space="preserve">Chair, </w:t>
            </w:r>
            <w:r w:rsidR="00887493" w:rsidRPr="00B70D0C">
              <w:rPr>
                <w:rStyle w:val="Firstpagetablebold"/>
                <w:b w:val="0"/>
              </w:rPr>
              <w:t xml:space="preserve">Labour </w:t>
            </w:r>
            <w:r w:rsidR="00B70D0C" w:rsidRPr="00B70D0C">
              <w:rPr>
                <w:rStyle w:val="Firstpagetablebold"/>
                <w:b w:val="0"/>
              </w:rPr>
              <w:t xml:space="preserve">Cllr </w:t>
            </w:r>
            <w:r w:rsidR="00887493" w:rsidRPr="00B70D0C">
              <w:rPr>
                <w:rStyle w:val="Firstpagetablebold"/>
                <w:b w:val="0"/>
              </w:rPr>
              <w:t xml:space="preserve">A, Lib Dem </w:t>
            </w:r>
            <w:r w:rsidR="00B70D0C" w:rsidRPr="00B70D0C">
              <w:rPr>
                <w:rStyle w:val="Firstpagetablebold"/>
                <w:b w:val="0"/>
              </w:rPr>
              <w:t xml:space="preserve">Cllr </w:t>
            </w:r>
            <w:r w:rsidR="00887493" w:rsidRPr="00B70D0C">
              <w:rPr>
                <w:rStyle w:val="Firstpagetablebold"/>
                <w:b w:val="0"/>
              </w:rPr>
              <w:t>A</w:t>
            </w:r>
          </w:p>
          <w:p w:rsidR="003641AD" w:rsidRPr="00B70D0C" w:rsidRDefault="003641AD" w:rsidP="00B70D0C">
            <w:pPr>
              <w:pStyle w:val="ListParagraph"/>
              <w:numPr>
                <w:ilvl w:val="0"/>
                <w:numId w:val="43"/>
              </w:numPr>
              <w:rPr>
                <w:rStyle w:val="Firstpagetablebold"/>
                <w:b w:val="0"/>
              </w:rPr>
            </w:pPr>
            <w:r w:rsidRPr="00B70D0C">
              <w:rPr>
                <w:rStyle w:val="Firstpagetablebold"/>
                <w:b w:val="0"/>
              </w:rPr>
              <w:t xml:space="preserve">Sub- Committee B: </w:t>
            </w:r>
            <w:r w:rsidR="00887493" w:rsidRPr="00B70D0C">
              <w:rPr>
                <w:rStyle w:val="Firstpagetablebold"/>
                <w:b w:val="0"/>
              </w:rPr>
              <w:t xml:space="preserve">GPL </w:t>
            </w:r>
            <w:r w:rsidRPr="00B70D0C">
              <w:rPr>
                <w:rStyle w:val="Firstpagetablebold"/>
                <w:b w:val="0"/>
              </w:rPr>
              <w:t xml:space="preserve">Vice Chair, </w:t>
            </w:r>
            <w:r w:rsidR="00887493" w:rsidRPr="00B70D0C">
              <w:rPr>
                <w:rStyle w:val="Firstpagetablebold"/>
                <w:b w:val="0"/>
              </w:rPr>
              <w:t xml:space="preserve">Labour </w:t>
            </w:r>
            <w:r w:rsidR="00B70D0C" w:rsidRPr="00B70D0C">
              <w:rPr>
                <w:rStyle w:val="Firstpagetablebold"/>
                <w:b w:val="0"/>
              </w:rPr>
              <w:t xml:space="preserve">Cllr </w:t>
            </w:r>
            <w:r w:rsidR="00887493" w:rsidRPr="00B70D0C">
              <w:rPr>
                <w:rStyle w:val="Firstpagetablebold"/>
                <w:b w:val="0"/>
              </w:rPr>
              <w:t xml:space="preserve">B, Lib Dem </w:t>
            </w:r>
            <w:r w:rsidR="00B70D0C" w:rsidRPr="00B70D0C">
              <w:rPr>
                <w:rStyle w:val="Firstpagetablebold"/>
                <w:b w:val="0"/>
              </w:rPr>
              <w:t xml:space="preserve">Cllr </w:t>
            </w:r>
            <w:r w:rsidR="00887493" w:rsidRPr="00B70D0C">
              <w:rPr>
                <w:rStyle w:val="Firstpagetablebold"/>
                <w:b w:val="0"/>
              </w:rPr>
              <w:t>B</w:t>
            </w:r>
          </w:p>
          <w:p w:rsidR="003641AD" w:rsidRPr="00B70D0C" w:rsidRDefault="003641AD" w:rsidP="00B70D0C">
            <w:pPr>
              <w:pStyle w:val="ListParagraph"/>
              <w:numPr>
                <w:ilvl w:val="0"/>
                <w:numId w:val="43"/>
              </w:numPr>
              <w:rPr>
                <w:rStyle w:val="Firstpagetablebold"/>
                <w:b w:val="0"/>
              </w:rPr>
            </w:pPr>
            <w:r w:rsidRPr="00B70D0C">
              <w:rPr>
                <w:rStyle w:val="Firstpagetablebold"/>
                <w:b w:val="0"/>
              </w:rPr>
              <w:t xml:space="preserve">Sub- Committee C: </w:t>
            </w:r>
            <w:r w:rsidR="00887493" w:rsidRPr="00B70D0C">
              <w:rPr>
                <w:rStyle w:val="Firstpagetablebold"/>
                <w:b w:val="0"/>
              </w:rPr>
              <w:t xml:space="preserve">GFL </w:t>
            </w:r>
            <w:r w:rsidRPr="00B70D0C">
              <w:rPr>
                <w:rStyle w:val="Firstpagetablebold"/>
                <w:b w:val="0"/>
              </w:rPr>
              <w:t xml:space="preserve">Chair, </w:t>
            </w:r>
            <w:r w:rsidR="00887493" w:rsidRPr="00B70D0C">
              <w:rPr>
                <w:rStyle w:val="Firstpagetablebold"/>
                <w:b w:val="0"/>
              </w:rPr>
              <w:t xml:space="preserve">Labour </w:t>
            </w:r>
            <w:r w:rsidR="00B70D0C" w:rsidRPr="00B70D0C">
              <w:rPr>
                <w:rStyle w:val="Firstpagetablebold"/>
                <w:b w:val="0"/>
              </w:rPr>
              <w:t xml:space="preserve">Cllr </w:t>
            </w:r>
            <w:r w:rsidR="00887493" w:rsidRPr="00B70D0C">
              <w:rPr>
                <w:rStyle w:val="Firstpagetablebold"/>
                <w:b w:val="0"/>
              </w:rPr>
              <w:t xml:space="preserve">C, Lib Dem </w:t>
            </w:r>
            <w:r w:rsidR="00B70D0C" w:rsidRPr="00B70D0C">
              <w:rPr>
                <w:rStyle w:val="Firstpagetablebold"/>
                <w:b w:val="0"/>
              </w:rPr>
              <w:t xml:space="preserve">Cllr </w:t>
            </w:r>
            <w:r w:rsidR="00887493" w:rsidRPr="00B70D0C">
              <w:rPr>
                <w:rStyle w:val="Firstpagetablebold"/>
                <w:b w:val="0"/>
              </w:rPr>
              <w:t>A</w:t>
            </w:r>
          </w:p>
          <w:p w:rsidR="003641AD" w:rsidRPr="001356F1" w:rsidRDefault="003641AD" w:rsidP="00B70D0C">
            <w:pPr>
              <w:pStyle w:val="ListParagraph"/>
              <w:numPr>
                <w:ilvl w:val="0"/>
                <w:numId w:val="43"/>
              </w:numPr>
            </w:pPr>
            <w:r w:rsidRPr="00B70D0C">
              <w:rPr>
                <w:rStyle w:val="Firstpagetablebold"/>
                <w:b w:val="0"/>
              </w:rPr>
              <w:t xml:space="preserve"> Sub- Committee D: </w:t>
            </w:r>
            <w:r w:rsidR="00887493" w:rsidRPr="00B70D0C">
              <w:rPr>
                <w:rStyle w:val="Firstpagetablebold"/>
                <w:b w:val="0"/>
              </w:rPr>
              <w:t xml:space="preserve">GPL </w:t>
            </w:r>
            <w:r w:rsidRPr="00B70D0C">
              <w:rPr>
                <w:rStyle w:val="Firstpagetablebold"/>
                <w:b w:val="0"/>
              </w:rPr>
              <w:t>Vice Chair</w:t>
            </w:r>
            <w:r w:rsidR="00887493" w:rsidRPr="00B70D0C">
              <w:rPr>
                <w:rStyle w:val="Firstpagetablebold"/>
                <w:b w:val="0"/>
              </w:rPr>
              <w:t xml:space="preserve">, Labour </w:t>
            </w:r>
            <w:r w:rsidR="00B70D0C" w:rsidRPr="00B70D0C">
              <w:rPr>
                <w:rStyle w:val="Firstpagetablebold"/>
                <w:b w:val="0"/>
              </w:rPr>
              <w:t xml:space="preserve">Cllr </w:t>
            </w:r>
            <w:r w:rsidR="00887493" w:rsidRPr="00B70D0C">
              <w:rPr>
                <w:rStyle w:val="Firstpagetablebold"/>
                <w:b w:val="0"/>
              </w:rPr>
              <w:t xml:space="preserve">D, Lib Dem </w:t>
            </w:r>
            <w:r w:rsidR="00B70D0C" w:rsidRPr="00B70D0C">
              <w:rPr>
                <w:rStyle w:val="Firstpagetablebold"/>
                <w:b w:val="0"/>
              </w:rPr>
              <w:t xml:space="preserve">Cllr </w:t>
            </w:r>
            <w:r w:rsidR="00887493" w:rsidRPr="00B70D0C">
              <w:rPr>
                <w:rStyle w:val="Firstpagetablebold"/>
                <w:b w:val="0"/>
              </w:rPr>
              <w:t>B</w:t>
            </w:r>
          </w:p>
        </w:tc>
      </w:tr>
      <w:tr w:rsidR="00232F5B" w:rsidRPr="00975B07" w:rsidTr="00BD370E">
        <w:trPr>
          <w:trHeight w:val="423"/>
        </w:trPr>
        <w:tc>
          <w:tcPr>
            <w:tcW w:w="426" w:type="dxa"/>
            <w:tcBorders>
              <w:top w:val="nil"/>
              <w:left w:val="single" w:sz="4" w:space="0" w:color="auto"/>
              <w:bottom w:val="nil"/>
              <w:right w:val="nil"/>
            </w:tcBorders>
          </w:tcPr>
          <w:p w:rsidR="0030208D" w:rsidRPr="00975B07" w:rsidRDefault="00BD370E" w:rsidP="004A6D2F">
            <w:r>
              <w:t>3</w:t>
            </w:r>
            <w:r w:rsidR="00046D2B" w:rsidRPr="00975B07">
              <w:t>.</w:t>
            </w:r>
          </w:p>
        </w:tc>
        <w:tc>
          <w:tcPr>
            <w:tcW w:w="8930" w:type="dxa"/>
            <w:gridSpan w:val="2"/>
            <w:tcBorders>
              <w:top w:val="nil"/>
              <w:left w:val="nil"/>
              <w:bottom w:val="nil"/>
              <w:right w:val="single" w:sz="4" w:space="0" w:color="auto"/>
            </w:tcBorders>
            <w:shd w:val="clear" w:color="auto" w:fill="auto"/>
          </w:tcPr>
          <w:p w:rsidR="0030208D" w:rsidRPr="003641AD" w:rsidRDefault="005A5C51" w:rsidP="00B70D0C">
            <w:pPr>
              <w:rPr>
                <w:b/>
              </w:rPr>
            </w:pPr>
            <w:r>
              <w:rPr>
                <w:rStyle w:val="Firstpagetablebold"/>
              </w:rPr>
              <w:t>A</w:t>
            </w:r>
            <w:r w:rsidR="003641AD" w:rsidRPr="003641AD">
              <w:rPr>
                <w:rStyle w:val="Firstpagetablebold"/>
              </w:rPr>
              <w:t>gree</w:t>
            </w:r>
            <w:r w:rsidR="003641AD" w:rsidRPr="003641AD">
              <w:rPr>
                <w:rStyle w:val="Firstpagetablebold"/>
                <w:b w:val="0"/>
              </w:rPr>
              <w:t xml:space="preserve"> that substitution is permitted on each </w:t>
            </w:r>
            <w:r w:rsidR="00B70D0C">
              <w:rPr>
                <w:rStyle w:val="Firstpagetablebold"/>
                <w:b w:val="0"/>
              </w:rPr>
              <w:t xml:space="preserve">of the </w:t>
            </w:r>
            <w:r w:rsidR="003641AD" w:rsidRPr="003641AD">
              <w:rPr>
                <w:rStyle w:val="Firstpagetablebold"/>
                <w:b w:val="0"/>
              </w:rPr>
              <w:t>4 sub-committees but that substitutes must be from the General Purposes Licensing Committee</w:t>
            </w:r>
            <w:r w:rsidR="00887493">
              <w:rPr>
                <w:rStyle w:val="Firstpagetablebold"/>
                <w:b w:val="0"/>
              </w:rPr>
              <w:t xml:space="preserve"> </w:t>
            </w:r>
            <w:r w:rsidR="00B70D0C">
              <w:rPr>
                <w:rStyle w:val="Firstpagetablebold"/>
                <w:b w:val="0"/>
              </w:rPr>
              <w:t>and</w:t>
            </w:r>
            <w:r w:rsidR="00887493">
              <w:rPr>
                <w:rStyle w:val="Firstpagetablebold"/>
                <w:b w:val="0"/>
              </w:rPr>
              <w:t xml:space="preserve"> must maintain political proportionality</w:t>
            </w:r>
            <w:r w:rsidR="003641AD" w:rsidRPr="003641AD">
              <w:rPr>
                <w:rStyle w:val="Firstpagetablebold"/>
                <w:b w:val="0"/>
              </w:rPr>
              <w:t>;</w:t>
            </w:r>
          </w:p>
        </w:tc>
      </w:tr>
      <w:tr w:rsidR="00232F5B" w:rsidRPr="00975B07" w:rsidTr="00BD370E">
        <w:trPr>
          <w:trHeight w:val="283"/>
        </w:trPr>
        <w:tc>
          <w:tcPr>
            <w:tcW w:w="426" w:type="dxa"/>
            <w:tcBorders>
              <w:top w:val="nil"/>
              <w:left w:val="single" w:sz="4" w:space="0" w:color="auto"/>
              <w:bottom w:val="single" w:sz="4" w:space="0" w:color="auto"/>
              <w:right w:val="nil"/>
            </w:tcBorders>
          </w:tcPr>
          <w:p w:rsidR="0030208D" w:rsidRPr="00975B07" w:rsidRDefault="00BD370E" w:rsidP="004A6D2F">
            <w:r>
              <w:t>4</w:t>
            </w:r>
            <w:r w:rsidR="00046D2B" w:rsidRPr="00975B07">
              <w:t>.</w:t>
            </w:r>
          </w:p>
        </w:tc>
        <w:tc>
          <w:tcPr>
            <w:tcW w:w="8930" w:type="dxa"/>
            <w:gridSpan w:val="2"/>
            <w:tcBorders>
              <w:top w:val="nil"/>
              <w:left w:val="nil"/>
              <w:bottom w:val="single" w:sz="4" w:space="0" w:color="auto"/>
              <w:right w:val="single" w:sz="4" w:space="0" w:color="auto"/>
            </w:tcBorders>
            <w:shd w:val="clear" w:color="auto" w:fill="auto"/>
          </w:tcPr>
          <w:p w:rsidR="0030208D" w:rsidRPr="003641AD" w:rsidRDefault="003641AD" w:rsidP="003641AD">
            <w:pPr>
              <w:rPr>
                <w:b/>
              </w:rPr>
            </w:pPr>
            <w:r w:rsidRPr="003641AD">
              <w:rPr>
                <w:rStyle w:val="Firstpagetablebold"/>
              </w:rPr>
              <w:t>Agree</w:t>
            </w:r>
            <w:r w:rsidRPr="003641AD">
              <w:rPr>
                <w:rStyle w:val="Firstpagetablebold"/>
                <w:b w:val="0"/>
              </w:rPr>
              <w:t xml:space="preserve"> the meeting dates and time listed in Appendix </w:t>
            </w:r>
            <w:r>
              <w:rPr>
                <w:rStyle w:val="Firstpagetablebold"/>
                <w:b w:val="0"/>
              </w:rPr>
              <w:t>1</w:t>
            </w:r>
            <w:r w:rsidRPr="003641AD">
              <w:rPr>
                <w:rStyle w:val="Firstpagetablebold"/>
                <w:b w:val="0"/>
              </w:rPr>
              <w:t>.</w:t>
            </w:r>
          </w:p>
        </w:tc>
      </w:tr>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887493">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887493">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918" w:type="dxa"/>
            <w:tcBorders>
              <w:top w:val="single" w:sz="8" w:space="0" w:color="000000"/>
              <w:left w:val="nil"/>
              <w:bottom w:val="single" w:sz="4" w:space="0" w:color="auto"/>
              <w:right w:val="single" w:sz="8" w:space="0" w:color="000000"/>
            </w:tcBorders>
          </w:tcPr>
          <w:p w:rsidR="00ED5860" w:rsidRPr="001356F1" w:rsidRDefault="003641AD" w:rsidP="004A6D2F">
            <w:r>
              <w:t>Powers and Duties of GPL Sub-Committees</w:t>
            </w:r>
          </w:p>
        </w:tc>
      </w:tr>
    </w:tbl>
    <w:p w:rsidR="00822518" w:rsidRDefault="00822518" w:rsidP="004A6D2F">
      <w:pPr>
        <w:pStyle w:val="Heading1"/>
      </w:pPr>
    </w:p>
    <w:p w:rsidR="00822518" w:rsidRDefault="00822518">
      <w:pPr>
        <w:spacing w:after="0"/>
        <w:rPr>
          <w:b/>
        </w:rPr>
      </w:pPr>
      <w:r>
        <w:br w:type="page"/>
      </w: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3641AD" w:rsidRPr="003641AD" w:rsidRDefault="003641AD" w:rsidP="003A1E54">
      <w:pPr>
        <w:pStyle w:val="ListParagraph"/>
        <w:tabs>
          <w:tab w:val="clear" w:pos="426"/>
        </w:tabs>
        <w:ind w:left="284" w:hanging="284"/>
        <w:rPr>
          <w:lang w:eastAsia="en-US"/>
        </w:rPr>
      </w:pPr>
      <w:r w:rsidRPr="003641AD">
        <w:rPr>
          <w:lang w:eastAsia="en-US"/>
        </w:rPr>
        <w:t>Historically the General Purposes Licensing Committee</w:t>
      </w:r>
      <w:r w:rsidR="00D6528A">
        <w:rPr>
          <w:lang w:eastAsia="en-US"/>
        </w:rPr>
        <w:t xml:space="preserve"> (GPL)</w:t>
      </w:r>
      <w:r w:rsidRPr="003641AD">
        <w:rPr>
          <w:lang w:eastAsia="en-US"/>
        </w:rPr>
        <w:t xml:space="preserve"> established two sub-committees to deal with casework: </w:t>
      </w:r>
    </w:p>
    <w:p w:rsidR="003641AD" w:rsidRPr="003641AD" w:rsidRDefault="003641AD" w:rsidP="003641AD">
      <w:pPr>
        <w:keepNext/>
        <w:numPr>
          <w:ilvl w:val="0"/>
          <w:numId w:val="36"/>
        </w:numPr>
        <w:spacing w:before="120" w:after="0"/>
        <w:outlineLvl w:val="0"/>
        <w:rPr>
          <w:rFonts w:cs="Arial"/>
          <w:b/>
          <w:bCs/>
          <w:color w:val="auto"/>
          <w:lang w:eastAsia="en-US"/>
        </w:rPr>
      </w:pPr>
      <w:r w:rsidRPr="003641AD">
        <w:rPr>
          <w:rFonts w:cs="Arial"/>
          <w:b/>
          <w:bCs/>
          <w:color w:val="auto"/>
          <w:lang w:eastAsia="en-US"/>
        </w:rPr>
        <w:t>Hackney Carriages and Private Hire Licensing Sub-Committee</w:t>
      </w:r>
      <w:r w:rsidR="00B70D0C">
        <w:rPr>
          <w:rFonts w:cs="Arial"/>
          <w:b/>
          <w:bCs/>
          <w:color w:val="auto"/>
          <w:lang w:eastAsia="en-US"/>
        </w:rPr>
        <w:t xml:space="preserve"> (HCPH)</w:t>
      </w:r>
    </w:p>
    <w:p w:rsidR="003641AD" w:rsidRPr="003641AD" w:rsidRDefault="003641AD" w:rsidP="003641AD">
      <w:pPr>
        <w:ind w:left="720"/>
        <w:rPr>
          <w:rFonts w:cs="Arial"/>
          <w:color w:val="auto"/>
          <w:lang w:eastAsia="en-US"/>
        </w:rPr>
      </w:pPr>
      <w:r w:rsidRPr="003641AD">
        <w:rPr>
          <w:rFonts w:cs="Arial"/>
          <w:color w:val="auto"/>
          <w:lang w:eastAsia="en-US"/>
        </w:rPr>
        <w:t xml:space="preserve">The powers and duties of a Hackney Carriages and Private Hire Licensing Sub-Committee are set out in </w:t>
      </w:r>
      <w:r w:rsidRPr="00B70D0C">
        <w:rPr>
          <w:rFonts w:cs="Arial"/>
          <w:color w:val="auto"/>
          <w:lang w:eastAsia="en-US"/>
        </w:rPr>
        <w:t>Appendix 1</w:t>
      </w:r>
      <w:r w:rsidRPr="003641AD">
        <w:rPr>
          <w:rFonts w:cs="Arial"/>
          <w:color w:val="auto"/>
          <w:lang w:eastAsia="en-US"/>
        </w:rPr>
        <w:t xml:space="preserve"> to this report. The Sub-Committee of 3 members met on </w:t>
      </w:r>
      <w:r w:rsidRPr="003038E5">
        <w:rPr>
          <w:rFonts w:cs="Arial"/>
          <w:color w:val="auto"/>
          <w:lang w:eastAsia="en-US"/>
        </w:rPr>
        <w:t>7</w:t>
      </w:r>
      <w:r w:rsidRPr="003641AD">
        <w:rPr>
          <w:rFonts w:cs="Arial"/>
          <w:color w:val="FF0000"/>
          <w:lang w:eastAsia="en-US"/>
        </w:rPr>
        <w:t xml:space="preserve"> </w:t>
      </w:r>
      <w:r w:rsidRPr="003641AD">
        <w:rPr>
          <w:rFonts w:cs="Arial"/>
          <w:color w:val="auto"/>
          <w:lang w:eastAsia="en-US"/>
        </w:rPr>
        <w:t>occasions in 2016/17.</w:t>
      </w:r>
    </w:p>
    <w:p w:rsidR="003641AD" w:rsidRPr="003641AD" w:rsidRDefault="003641AD" w:rsidP="003641AD">
      <w:pPr>
        <w:numPr>
          <w:ilvl w:val="0"/>
          <w:numId w:val="36"/>
        </w:numPr>
        <w:spacing w:after="0"/>
        <w:rPr>
          <w:rFonts w:cs="Arial"/>
          <w:color w:val="auto"/>
          <w:lang w:eastAsia="en-US"/>
        </w:rPr>
      </w:pPr>
      <w:r w:rsidRPr="003641AD">
        <w:rPr>
          <w:rFonts w:cs="Arial"/>
          <w:b/>
          <w:color w:val="auto"/>
          <w:lang w:eastAsia="en-US"/>
        </w:rPr>
        <w:t>Licensing and Registration Sub-Committee</w:t>
      </w:r>
      <w:r w:rsidR="003A1E54">
        <w:rPr>
          <w:rFonts w:cs="Arial"/>
          <w:b/>
          <w:color w:val="auto"/>
          <w:lang w:eastAsia="en-US"/>
        </w:rPr>
        <w:t xml:space="preserve"> (LR)</w:t>
      </w:r>
    </w:p>
    <w:p w:rsidR="003641AD" w:rsidRPr="003641AD" w:rsidRDefault="003641AD" w:rsidP="003641AD">
      <w:pPr>
        <w:spacing w:after="0"/>
        <w:ind w:left="720"/>
        <w:rPr>
          <w:rFonts w:cs="Arial"/>
          <w:color w:val="auto"/>
          <w:lang w:eastAsia="en-US"/>
        </w:rPr>
      </w:pPr>
      <w:r w:rsidRPr="003641AD">
        <w:rPr>
          <w:rFonts w:cs="Arial"/>
          <w:color w:val="auto"/>
          <w:lang w:eastAsia="en-US"/>
        </w:rPr>
        <w:t xml:space="preserve">The powers and duties of a Licensing and Registration Sub-Committee are set out in </w:t>
      </w:r>
      <w:r w:rsidRPr="00B70D0C">
        <w:rPr>
          <w:rFonts w:cs="Arial"/>
          <w:color w:val="auto"/>
          <w:lang w:eastAsia="en-US"/>
        </w:rPr>
        <w:t>Appendix 1</w:t>
      </w:r>
      <w:r w:rsidRPr="003641AD">
        <w:rPr>
          <w:rFonts w:cs="Arial"/>
          <w:color w:val="auto"/>
          <w:lang w:eastAsia="en-US"/>
        </w:rPr>
        <w:t xml:space="preserve"> to this report.  The Sub-Committee of 4 members met on </w:t>
      </w:r>
      <w:r w:rsidRPr="003038E5">
        <w:rPr>
          <w:rFonts w:cs="Arial"/>
          <w:color w:val="auto"/>
          <w:lang w:eastAsia="en-US"/>
        </w:rPr>
        <w:t xml:space="preserve">2 </w:t>
      </w:r>
      <w:r w:rsidRPr="003641AD">
        <w:rPr>
          <w:rFonts w:cs="Arial"/>
          <w:color w:val="auto"/>
          <w:lang w:eastAsia="en-US"/>
        </w:rPr>
        <w:t>occasions in 2016/17.</w:t>
      </w:r>
    </w:p>
    <w:p w:rsidR="003641AD" w:rsidRPr="003641AD" w:rsidRDefault="003641AD" w:rsidP="003641AD">
      <w:pPr>
        <w:spacing w:after="0"/>
        <w:ind w:left="426"/>
        <w:rPr>
          <w:rFonts w:cs="Arial"/>
          <w:color w:val="auto"/>
          <w:lang w:eastAsia="en-US"/>
        </w:rPr>
      </w:pPr>
    </w:p>
    <w:p w:rsidR="003641AD" w:rsidRPr="003641AD" w:rsidRDefault="003641AD" w:rsidP="00B70D0C">
      <w:pPr>
        <w:pStyle w:val="bParagraphtext"/>
        <w:spacing w:after="0"/>
        <w:ind w:left="357" w:hanging="357"/>
        <w:rPr>
          <w:lang w:eastAsia="en-US"/>
        </w:rPr>
      </w:pPr>
      <w:r w:rsidRPr="003641AD">
        <w:rPr>
          <w:lang w:eastAsia="en-US"/>
        </w:rPr>
        <w:t xml:space="preserve">The two </w:t>
      </w:r>
      <w:r w:rsidR="00B70D0C">
        <w:rPr>
          <w:lang w:eastAsia="en-US"/>
        </w:rPr>
        <w:t>s</w:t>
      </w:r>
      <w:r w:rsidRPr="003641AD">
        <w:rPr>
          <w:lang w:eastAsia="en-US"/>
        </w:rPr>
        <w:t>ub-</w:t>
      </w:r>
      <w:r w:rsidR="00B70D0C">
        <w:rPr>
          <w:lang w:eastAsia="en-US"/>
        </w:rPr>
        <w:t>c</w:t>
      </w:r>
      <w:r w:rsidRPr="003641AD">
        <w:rPr>
          <w:lang w:eastAsia="en-US"/>
        </w:rPr>
        <w:t xml:space="preserve">ommittees follow </w:t>
      </w:r>
      <w:r w:rsidR="003038E5">
        <w:rPr>
          <w:lang w:eastAsia="en-US"/>
        </w:rPr>
        <w:t>a similar</w:t>
      </w:r>
      <w:r w:rsidRPr="003641AD">
        <w:rPr>
          <w:lang w:eastAsia="en-US"/>
        </w:rPr>
        <w:t xml:space="preserve"> procedure for the conduct of hearings, although the HCPH hearings are held in private and those of the Licensing and Registration Sub-Committee are normally held in public.</w:t>
      </w:r>
    </w:p>
    <w:p w:rsidR="003641AD" w:rsidRPr="003641AD" w:rsidRDefault="003641AD" w:rsidP="00B70D0C">
      <w:pPr>
        <w:spacing w:after="0"/>
        <w:ind w:left="68"/>
        <w:rPr>
          <w:rFonts w:cs="Arial"/>
          <w:color w:val="auto"/>
          <w:lang w:eastAsia="en-US"/>
        </w:rPr>
      </w:pPr>
    </w:p>
    <w:p w:rsidR="008E546D" w:rsidRPr="003641AD" w:rsidRDefault="003641AD" w:rsidP="008E546D">
      <w:pPr>
        <w:pStyle w:val="bParagraphtext"/>
        <w:rPr>
          <w:lang w:eastAsia="en-US"/>
        </w:rPr>
      </w:pPr>
      <w:r w:rsidRPr="003641AD">
        <w:rPr>
          <w:lang w:eastAsia="en-US"/>
        </w:rPr>
        <w:t xml:space="preserve">Any member of the General Purposes Licensing Committee may act as substitute on either of the sub-committees. </w:t>
      </w:r>
    </w:p>
    <w:p w:rsidR="00D6528A" w:rsidRDefault="003641AD" w:rsidP="00EF44AB">
      <w:pPr>
        <w:pStyle w:val="bParagraphtext"/>
        <w:rPr>
          <w:lang w:eastAsia="en-US"/>
        </w:rPr>
      </w:pPr>
      <w:r w:rsidRPr="003641AD">
        <w:rPr>
          <w:lang w:eastAsia="en-US"/>
        </w:rPr>
        <w:t>The Local Government</w:t>
      </w:r>
      <w:r w:rsidR="00EF44AB">
        <w:rPr>
          <w:lang w:eastAsia="en-US"/>
        </w:rPr>
        <w:t xml:space="preserve"> Housing</w:t>
      </w:r>
      <w:r w:rsidRPr="003641AD">
        <w:rPr>
          <w:lang w:eastAsia="en-US"/>
        </w:rPr>
        <w:t xml:space="preserve"> Act 19</w:t>
      </w:r>
      <w:r w:rsidR="00EF44AB">
        <w:rPr>
          <w:lang w:eastAsia="en-US"/>
        </w:rPr>
        <w:t>89</w:t>
      </w:r>
      <w:r w:rsidRPr="003641AD">
        <w:rPr>
          <w:lang w:eastAsia="en-US"/>
        </w:rPr>
        <w:t xml:space="preserve"> requires</w:t>
      </w:r>
      <w:r w:rsidR="005C623F">
        <w:rPr>
          <w:lang w:eastAsia="en-US"/>
        </w:rPr>
        <w:t xml:space="preserve"> all</w:t>
      </w:r>
      <w:r w:rsidRPr="003641AD">
        <w:rPr>
          <w:lang w:eastAsia="en-US"/>
        </w:rPr>
        <w:t xml:space="preserve"> </w:t>
      </w:r>
      <w:bookmarkStart w:id="0" w:name="_GoBack"/>
      <w:bookmarkEnd w:id="0"/>
      <w:r w:rsidR="0051434C">
        <w:rPr>
          <w:lang w:eastAsia="en-US"/>
        </w:rPr>
        <w:t>council sub</w:t>
      </w:r>
      <w:r w:rsidRPr="003641AD">
        <w:rPr>
          <w:lang w:eastAsia="en-US"/>
        </w:rPr>
        <w:t>-</w:t>
      </w:r>
      <w:r w:rsidR="00B70D0C">
        <w:rPr>
          <w:lang w:eastAsia="en-US"/>
        </w:rPr>
        <w:t>c</w:t>
      </w:r>
      <w:r w:rsidRPr="003641AD">
        <w:rPr>
          <w:lang w:eastAsia="en-US"/>
        </w:rPr>
        <w:t>ommittees</w:t>
      </w:r>
      <w:r w:rsidR="005C623F">
        <w:rPr>
          <w:lang w:eastAsia="en-US"/>
        </w:rPr>
        <w:t xml:space="preserve"> to</w:t>
      </w:r>
      <w:r w:rsidRPr="003641AD">
        <w:rPr>
          <w:lang w:eastAsia="en-US"/>
        </w:rPr>
        <w:t xml:space="preserve"> be politically balanced.  </w:t>
      </w:r>
      <w:r w:rsidR="00D6528A">
        <w:rPr>
          <w:lang w:eastAsia="en-US"/>
        </w:rPr>
        <w:t>With the current political balance of</w:t>
      </w:r>
      <w:r w:rsidR="005C623F">
        <w:rPr>
          <w:lang w:eastAsia="en-US"/>
        </w:rPr>
        <w:t xml:space="preserve"> the GPL C</w:t>
      </w:r>
      <w:r w:rsidR="00D6528A">
        <w:rPr>
          <w:lang w:eastAsia="en-US"/>
        </w:rPr>
        <w:t>ommittee, all 3 member sub-committee</w:t>
      </w:r>
      <w:r w:rsidR="005C623F">
        <w:rPr>
          <w:lang w:eastAsia="en-US"/>
        </w:rPr>
        <w:t>s</w:t>
      </w:r>
      <w:r w:rsidR="00D6528A">
        <w:rPr>
          <w:lang w:eastAsia="en-US"/>
        </w:rPr>
        <w:t xml:space="preserve"> must consist of 2 Labour seats and a Liberal Democrat.</w:t>
      </w:r>
      <w:r w:rsidR="00EF44AB">
        <w:rPr>
          <w:lang w:eastAsia="en-US"/>
        </w:rPr>
        <w:t xml:space="preserve"> As the Green party</w:t>
      </w:r>
      <w:r w:rsidR="00EF44AB" w:rsidRPr="00EF44AB">
        <w:rPr>
          <w:lang w:eastAsia="en-US"/>
        </w:rPr>
        <w:t xml:space="preserve"> only have one seat on the GPL they are </w:t>
      </w:r>
      <w:r w:rsidR="005C623F" w:rsidRPr="00EF44AB">
        <w:rPr>
          <w:lang w:eastAsia="en-US"/>
        </w:rPr>
        <w:t xml:space="preserve">not </w:t>
      </w:r>
      <w:r w:rsidR="005C623F">
        <w:rPr>
          <w:lang w:eastAsia="en-US"/>
        </w:rPr>
        <w:t xml:space="preserve">automatically </w:t>
      </w:r>
      <w:r w:rsidR="00EF44AB" w:rsidRPr="00EF44AB">
        <w:rPr>
          <w:lang w:eastAsia="en-US"/>
        </w:rPr>
        <w:t>entitled to a</w:t>
      </w:r>
      <w:r w:rsidR="005C623F">
        <w:rPr>
          <w:lang w:eastAsia="en-US"/>
        </w:rPr>
        <w:t xml:space="preserve"> seat</w:t>
      </w:r>
      <w:r w:rsidR="00EF44AB" w:rsidRPr="00EF44AB">
        <w:rPr>
          <w:lang w:eastAsia="en-US"/>
        </w:rPr>
        <w:t xml:space="preserve"> on a 3 member sub-committee.</w:t>
      </w:r>
      <w:r w:rsidR="00EF44AB">
        <w:rPr>
          <w:lang w:eastAsia="en-US"/>
        </w:rPr>
        <w:t xml:space="preserve"> However it would be possible for </w:t>
      </w:r>
      <w:r w:rsidR="00D6528A">
        <w:rPr>
          <w:lang w:eastAsia="en-US"/>
        </w:rPr>
        <w:t xml:space="preserve">the Green member </w:t>
      </w:r>
      <w:r w:rsidR="00EF44AB">
        <w:rPr>
          <w:lang w:eastAsia="en-US"/>
        </w:rPr>
        <w:t>to have a</w:t>
      </w:r>
      <w:r w:rsidR="00D6528A">
        <w:rPr>
          <w:lang w:eastAsia="en-US"/>
        </w:rPr>
        <w:t xml:space="preserve"> seat on a sub-committee </w:t>
      </w:r>
      <w:r w:rsidR="005C623F">
        <w:rPr>
          <w:lang w:eastAsia="en-US"/>
        </w:rPr>
        <w:t>with</w:t>
      </w:r>
      <w:r w:rsidR="00EF44AB">
        <w:rPr>
          <w:lang w:eastAsia="en-US"/>
        </w:rPr>
        <w:t xml:space="preserve"> a </w:t>
      </w:r>
      <w:r w:rsidR="00812ABD">
        <w:rPr>
          <w:lang w:eastAsia="en-US"/>
        </w:rPr>
        <w:t xml:space="preserve">unanimous </w:t>
      </w:r>
      <w:r w:rsidR="00EF44AB">
        <w:rPr>
          <w:lang w:eastAsia="en-US"/>
        </w:rPr>
        <w:t>resolution from the GPL committee.</w:t>
      </w:r>
    </w:p>
    <w:p w:rsidR="008E546D" w:rsidRPr="008E546D" w:rsidRDefault="008E546D" w:rsidP="00B70D0C">
      <w:pPr>
        <w:spacing w:after="0"/>
        <w:rPr>
          <w:rFonts w:cs="Arial"/>
          <w:color w:val="auto"/>
          <w:lang w:eastAsia="en-US"/>
        </w:rPr>
      </w:pPr>
    </w:p>
    <w:p w:rsidR="008E546D" w:rsidRPr="008E546D" w:rsidRDefault="008E546D" w:rsidP="008E546D">
      <w:pPr>
        <w:ind w:left="426" w:hanging="426"/>
        <w:rPr>
          <w:rFonts w:cs="Arial"/>
          <w:b/>
          <w:color w:val="auto"/>
        </w:rPr>
      </w:pPr>
      <w:r w:rsidRPr="008E546D">
        <w:rPr>
          <w:rFonts w:cs="Arial"/>
          <w:b/>
          <w:color w:val="auto"/>
        </w:rPr>
        <w:t>Issues with the current structure</w:t>
      </w:r>
    </w:p>
    <w:p w:rsidR="00D623A5" w:rsidRPr="008E546D" w:rsidRDefault="00D623A5" w:rsidP="00D623A5">
      <w:pPr>
        <w:pStyle w:val="bParagraphtext"/>
        <w:numPr>
          <w:ilvl w:val="0"/>
          <w:numId w:val="0"/>
        </w:numPr>
        <w:rPr>
          <w:b/>
        </w:rPr>
      </w:pPr>
      <w:r w:rsidRPr="008E546D">
        <w:rPr>
          <w:b/>
        </w:rPr>
        <w:t>Lack of engagement of majority of committee</w:t>
      </w:r>
    </w:p>
    <w:p w:rsidR="00D623A5" w:rsidRDefault="00D623A5" w:rsidP="00D623A5">
      <w:pPr>
        <w:pStyle w:val="ListParagraph"/>
      </w:pPr>
      <w:r>
        <w:t xml:space="preserve">The current structure appoints fixed membership (of 3 or 4 members) to the sub-committees for the year. This enables those </w:t>
      </w:r>
      <w:r w:rsidR="0060276A">
        <w:t xml:space="preserve">members </w:t>
      </w:r>
      <w:r>
        <w:t xml:space="preserve">on the sub-committees to gain knowledge and skills of the casework but means there is very little opportunity for the </w:t>
      </w:r>
      <w:r w:rsidR="0060276A">
        <w:t>rest</w:t>
      </w:r>
      <w:r>
        <w:t xml:space="preserve"> of the </w:t>
      </w:r>
      <w:r w:rsidR="00B70D0C">
        <w:t>GPL members</w:t>
      </w:r>
      <w:r>
        <w:t xml:space="preserve"> to be involved in discharging casework. This is exacerbated if the membership of the sub-committees is not changed annually. In the past few years only </w:t>
      </w:r>
      <w:r w:rsidR="0060276A" w:rsidRPr="0060276A">
        <w:rPr>
          <w:color w:val="auto"/>
        </w:rPr>
        <w:t>3 or 4</w:t>
      </w:r>
      <w:r w:rsidRPr="0060276A">
        <w:rPr>
          <w:color w:val="auto"/>
        </w:rPr>
        <w:t xml:space="preserve"> </w:t>
      </w:r>
      <w:r>
        <w:t xml:space="preserve">members have been involved in sub-committee work. </w:t>
      </w:r>
      <w:r w:rsidR="00B70D0C">
        <w:t>Consequently</w:t>
      </w:r>
      <w:r>
        <w:t xml:space="preserve"> the majority of members only attend the GPL meetings 4 times a year and have limited practical knowledge </w:t>
      </w:r>
      <w:r w:rsidR="0060276A">
        <w:t xml:space="preserve">of casework </w:t>
      </w:r>
      <w:r>
        <w:t>to draw on when required to make policy decisions.</w:t>
      </w:r>
      <w:r w:rsidR="0060276A">
        <w:t xml:space="preserve"> </w:t>
      </w:r>
    </w:p>
    <w:p w:rsidR="008E546D" w:rsidRPr="008E546D" w:rsidRDefault="008E546D" w:rsidP="008E546D">
      <w:pPr>
        <w:pStyle w:val="bParagraphtext"/>
        <w:numPr>
          <w:ilvl w:val="0"/>
          <w:numId w:val="0"/>
        </w:numPr>
        <w:ind w:left="426" w:hanging="426"/>
        <w:rPr>
          <w:b/>
        </w:rPr>
      </w:pPr>
      <w:r w:rsidRPr="008E546D">
        <w:rPr>
          <w:b/>
        </w:rPr>
        <w:t>Concentration of expertise</w:t>
      </w:r>
    </w:p>
    <w:p w:rsidR="008E546D" w:rsidRDefault="0060276A" w:rsidP="008E546D">
      <w:pPr>
        <w:pStyle w:val="bParagraphtext"/>
      </w:pPr>
      <w:r>
        <w:t>Limiting the m</w:t>
      </w:r>
      <w:r w:rsidR="008E546D">
        <w:t xml:space="preserve">embership of the sub-committees to just 3 or 4 </w:t>
      </w:r>
      <w:r w:rsidR="00B70D0C">
        <w:t>councillors</w:t>
      </w:r>
      <w:r w:rsidR="008E546D">
        <w:t xml:space="preserve"> </w:t>
      </w:r>
      <w:r>
        <w:t>means that they have become</w:t>
      </w:r>
      <w:r w:rsidR="008E546D">
        <w:t xml:space="preserve"> very experienced and knowledgeable and </w:t>
      </w:r>
      <w:r w:rsidR="00B70D0C">
        <w:t>are able</w:t>
      </w:r>
      <w:r w:rsidR="008E546D">
        <w:t xml:space="preserve"> to provide consistency in decision making.  However, </w:t>
      </w:r>
      <w:r>
        <w:t xml:space="preserve">this </w:t>
      </w:r>
      <w:r w:rsidR="008E546D">
        <w:t>concentr</w:t>
      </w:r>
      <w:r>
        <w:t>ation of</w:t>
      </w:r>
      <w:r w:rsidR="008E546D">
        <w:t xml:space="preserve"> expertise makes the </w:t>
      </w:r>
      <w:r w:rsidR="00D623A5">
        <w:t xml:space="preserve">licensing </w:t>
      </w:r>
      <w:r w:rsidR="008E546D">
        <w:t xml:space="preserve">authority vulnerable. It is important that the </w:t>
      </w:r>
      <w:r w:rsidR="00D623A5">
        <w:t>licensing authority</w:t>
      </w:r>
      <w:r w:rsidR="008E546D">
        <w:t xml:space="preserve"> develops a larger number of members with the knowledge, experience and confidence to discharge the casework function. This will safeguard against an</w:t>
      </w:r>
      <w:r w:rsidR="00D623A5">
        <w:t>y</w:t>
      </w:r>
      <w:r w:rsidR="008E546D">
        <w:t xml:space="preserve"> </w:t>
      </w:r>
      <w:r w:rsidR="00D623A5">
        <w:t xml:space="preserve">unplanned </w:t>
      </w:r>
      <w:r w:rsidR="008E546D">
        <w:t>change in membership and will enable a continuity of service and decision making.</w:t>
      </w:r>
    </w:p>
    <w:p w:rsidR="005C623F" w:rsidRDefault="005C623F" w:rsidP="001E3547">
      <w:pPr>
        <w:pStyle w:val="Heading1"/>
        <w:rPr>
          <w:color w:val="auto"/>
          <w:lang w:eastAsia="en-US"/>
        </w:rPr>
      </w:pPr>
    </w:p>
    <w:p w:rsidR="001E3547" w:rsidRPr="003A1E54" w:rsidRDefault="001E3547" w:rsidP="001E3547">
      <w:pPr>
        <w:pStyle w:val="Heading1"/>
        <w:rPr>
          <w:color w:val="auto"/>
          <w:lang w:eastAsia="en-US"/>
        </w:rPr>
      </w:pPr>
      <w:r w:rsidRPr="003A1E54">
        <w:rPr>
          <w:color w:val="auto"/>
          <w:lang w:eastAsia="en-US"/>
        </w:rPr>
        <w:lastRenderedPageBreak/>
        <w:t>Training and skill building</w:t>
      </w:r>
    </w:p>
    <w:p w:rsidR="001E3547" w:rsidRPr="003A1E54" w:rsidRDefault="001E3547" w:rsidP="001E3547">
      <w:pPr>
        <w:pStyle w:val="ListParagraph"/>
        <w:rPr>
          <w:color w:val="auto"/>
          <w:lang w:eastAsia="en-US"/>
        </w:rPr>
      </w:pPr>
      <w:r w:rsidRPr="003A1E54">
        <w:rPr>
          <w:color w:val="auto"/>
          <w:lang w:eastAsia="en-US"/>
        </w:rPr>
        <w:t>If more members were to be involved in the casework it would make for more meaningful and relevant mandatory training. As more members being actively involved in deciding casework will lead to more robust discussions during the training sessions</w:t>
      </w:r>
      <w:r w:rsidR="00B70D0C" w:rsidRPr="003A1E54">
        <w:rPr>
          <w:color w:val="auto"/>
          <w:lang w:eastAsia="en-US"/>
        </w:rPr>
        <w:t xml:space="preserve"> whether they are delivered on an interactive / casework scenario basis</w:t>
      </w:r>
      <w:r w:rsidR="003A1E54" w:rsidRPr="003A1E54">
        <w:rPr>
          <w:color w:val="auto"/>
          <w:lang w:eastAsia="en-US"/>
        </w:rPr>
        <w:t xml:space="preserve"> or the more traditional classroom style</w:t>
      </w:r>
      <w:r w:rsidRPr="003A1E54">
        <w:rPr>
          <w:color w:val="auto"/>
          <w:lang w:eastAsia="en-US"/>
        </w:rPr>
        <w:t>.</w:t>
      </w:r>
    </w:p>
    <w:p w:rsidR="001E3547" w:rsidRPr="003A1E54" w:rsidRDefault="003A1E54" w:rsidP="001E3547">
      <w:pPr>
        <w:pStyle w:val="ListParagraph"/>
        <w:rPr>
          <w:color w:val="auto"/>
          <w:lang w:eastAsia="en-US"/>
        </w:rPr>
      </w:pPr>
      <w:r w:rsidRPr="003A1E54">
        <w:rPr>
          <w:color w:val="auto"/>
          <w:lang w:eastAsia="en-US"/>
        </w:rPr>
        <w:t>Establishing a group of sub-committees with a stable membership should also facilitate the informal s</w:t>
      </w:r>
      <w:r w:rsidR="001E3547" w:rsidRPr="003A1E54">
        <w:rPr>
          <w:color w:val="auto"/>
          <w:lang w:eastAsia="en-US"/>
        </w:rPr>
        <w:t>haring of exper</w:t>
      </w:r>
      <w:r w:rsidRPr="003A1E54">
        <w:rPr>
          <w:color w:val="auto"/>
          <w:lang w:eastAsia="en-US"/>
        </w:rPr>
        <w:t xml:space="preserve">ience between the councillors and may also result in some informal </w:t>
      </w:r>
      <w:r w:rsidR="001E3547" w:rsidRPr="003A1E54">
        <w:rPr>
          <w:color w:val="auto"/>
          <w:lang w:eastAsia="en-US"/>
        </w:rPr>
        <w:t xml:space="preserve">mentoring </w:t>
      </w:r>
      <w:r w:rsidRPr="003A1E54">
        <w:rPr>
          <w:color w:val="auto"/>
          <w:lang w:eastAsia="en-US"/>
        </w:rPr>
        <w:t>between the more experienced and junior members.</w:t>
      </w:r>
    </w:p>
    <w:p w:rsidR="008E546D" w:rsidRDefault="008E546D" w:rsidP="008E546D">
      <w:pPr>
        <w:pStyle w:val="Heading1"/>
      </w:pPr>
      <w:r>
        <w:t xml:space="preserve">Proposed </w:t>
      </w:r>
      <w:r w:rsidR="001F7967">
        <w:t>Combined Terms of Reference</w:t>
      </w:r>
    </w:p>
    <w:p w:rsidR="008E546D" w:rsidRDefault="001F7967" w:rsidP="008E546D">
      <w:pPr>
        <w:pStyle w:val="bParagraphtext"/>
        <w:rPr>
          <w:lang w:eastAsia="en-US"/>
        </w:rPr>
      </w:pPr>
      <w:r>
        <w:rPr>
          <w:lang w:eastAsia="en-US"/>
        </w:rPr>
        <w:t xml:space="preserve">The </w:t>
      </w:r>
      <w:r w:rsidRPr="008E546D">
        <w:rPr>
          <w:lang w:eastAsia="en-US"/>
        </w:rPr>
        <w:t xml:space="preserve">HCPH and LR sub-committees </w:t>
      </w:r>
      <w:r>
        <w:rPr>
          <w:lang w:eastAsia="en-US"/>
        </w:rPr>
        <w:t xml:space="preserve">follow </w:t>
      </w:r>
      <w:r w:rsidR="003038E5">
        <w:rPr>
          <w:lang w:eastAsia="en-US"/>
        </w:rPr>
        <w:t>a similar</w:t>
      </w:r>
      <w:r w:rsidR="00020A65">
        <w:rPr>
          <w:lang w:eastAsia="en-US"/>
        </w:rPr>
        <w:t xml:space="preserve"> hearing procedure</w:t>
      </w:r>
      <w:r>
        <w:rPr>
          <w:lang w:eastAsia="en-US"/>
        </w:rPr>
        <w:t xml:space="preserve"> and so c</w:t>
      </w:r>
      <w:r w:rsidR="008E546D" w:rsidRPr="008E546D">
        <w:rPr>
          <w:lang w:eastAsia="en-US"/>
        </w:rPr>
        <w:t>ombining the</w:t>
      </w:r>
      <w:r>
        <w:rPr>
          <w:lang w:eastAsia="en-US"/>
        </w:rPr>
        <w:t>ir</w:t>
      </w:r>
      <w:r w:rsidR="008E546D" w:rsidRPr="008E546D">
        <w:rPr>
          <w:lang w:eastAsia="en-US"/>
        </w:rPr>
        <w:t xml:space="preserve"> </w:t>
      </w:r>
      <w:r w:rsidR="003A1E54" w:rsidRPr="003A1E54">
        <w:rPr>
          <w:color w:val="auto"/>
          <w:lang w:eastAsia="en-US"/>
        </w:rPr>
        <w:t>t</w:t>
      </w:r>
      <w:r w:rsidR="008E546D" w:rsidRPr="003A1E54">
        <w:rPr>
          <w:color w:val="auto"/>
          <w:lang w:eastAsia="en-US"/>
        </w:rPr>
        <w:t xml:space="preserve">erms of </w:t>
      </w:r>
      <w:r w:rsidR="003A1E54" w:rsidRPr="003A1E54">
        <w:rPr>
          <w:color w:val="auto"/>
          <w:lang w:eastAsia="en-US"/>
        </w:rPr>
        <w:t>r</w:t>
      </w:r>
      <w:r w:rsidR="008E546D" w:rsidRPr="003A1E54">
        <w:rPr>
          <w:color w:val="auto"/>
          <w:lang w:eastAsia="en-US"/>
        </w:rPr>
        <w:t xml:space="preserve">eference </w:t>
      </w:r>
      <w:r w:rsidR="008E546D" w:rsidRPr="008E546D">
        <w:rPr>
          <w:lang w:eastAsia="en-US"/>
        </w:rPr>
        <w:t xml:space="preserve">would allow </w:t>
      </w:r>
      <w:r w:rsidR="0060276A">
        <w:rPr>
          <w:lang w:eastAsia="en-US"/>
        </w:rPr>
        <w:t>all casework</w:t>
      </w:r>
      <w:r w:rsidR="008E546D" w:rsidRPr="008E546D">
        <w:rPr>
          <w:lang w:eastAsia="en-US"/>
        </w:rPr>
        <w:t xml:space="preserve"> to be considered by the same sub-committee at the same meeting.  </w:t>
      </w:r>
      <w:r>
        <w:rPr>
          <w:lang w:eastAsia="en-US"/>
        </w:rPr>
        <w:t>A</w:t>
      </w:r>
      <w:r w:rsidRPr="008E546D">
        <w:rPr>
          <w:lang w:eastAsia="en-US"/>
        </w:rPr>
        <w:t xml:space="preserve">ny street trading </w:t>
      </w:r>
      <w:r>
        <w:rPr>
          <w:lang w:eastAsia="en-US"/>
        </w:rPr>
        <w:t>case</w:t>
      </w:r>
      <w:r w:rsidRPr="008E546D">
        <w:rPr>
          <w:lang w:eastAsia="en-US"/>
        </w:rPr>
        <w:t xml:space="preserve">work could be done in the public part of the agenda followed by HCPH cases in the private </w:t>
      </w:r>
      <w:r>
        <w:rPr>
          <w:lang w:eastAsia="en-US"/>
        </w:rPr>
        <w:t>session</w:t>
      </w:r>
      <w:r w:rsidRPr="008E546D">
        <w:rPr>
          <w:lang w:eastAsia="en-US"/>
        </w:rPr>
        <w:t xml:space="preserve">.  </w:t>
      </w:r>
      <w:r w:rsidR="008E546D" w:rsidRPr="008E546D">
        <w:rPr>
          <w:lang w:eastAsia="en-US"/>
        </w:rPr>
        <w:t>In 201</w:t>
      </w:r>
      <w:r w:rsidR="00DC1B71">
        <w:rPr>
          <w:lang w:eastAsia="en-US"/>
        </w:rPr>
        <w:t>6</w:t>
      </w:r>
      <w:r w:rsidR="008E546D" w:rsidRPr="008E546D">
        <w:rPr>
          <w:lang w:eastAsia="en-US"/>
        </w:rPr>
        <w:t>/1</w:t>
      </w:r>
      <w:r w:rsidR="00DC1B71">
        <w:rPr>
          <w:lang w:eastAsia="en-US"/>
        </w:rPr>
        <w:t>7</w:t>
      </w:r>
      <w:r w:rsidR="008E546D" w:rsidRPr="008E546D">
        <w:rPr>
          <w:lang w:eastAsia="en-US"/>
        </w:rPr>
        <w:t xml:space="preserve"> the LR sub-committee met only </w:t>
      </w:r>
      <w:r w:rsidR="00DC1B71">
        <w:rPr>
          <w:lang w:eastAsia="en-US"/>
        </w:rPr>
        <w:t>twice</w:t>
      </w:r>
      <w:r w:rsidR="008E546D" w:rsidRPr="008E546D">
        <w:rPr>
          <w:lang w:eastAsia="en-US"/>
        </w:rPr>
        <w:t xml:space="preserve"> so merging </w:t>
      </w:r>
      <w:r w:rsidR="0060276A">
        <w:rPr>
          <w:lang w:eastAsia="en-US"/>
        </w:rPr>
        <w:t>the two</w:t>
      </w:r>
      <w:r w:rsidR="008E546D" w:rsidRPr="008E546D">
        <w:rPr>
          <w:lang w:eastAsia="en-US"/>
        </w:rPr>
        <w:t xml:space="preserve"> sub-committees would </w:t>
      </w:r>
      <w:r>
        <w:rPr>
          <w:lang w:eastAsia="en-US"/>
        </w:rPr>
        <w:t xml:space="preserve">not add a significant burden to the work of the HCPH but would </w:t>
      </w:r>
      <w:r w:rsidR="008E546D" w:rsidRPr="008E546D">
        <w:rPr>
          <w:lang w:eastAsia="en-US"/>
        </w:rPr>
        <w:t xml:space="preserve">reduce the </w:t>
      </w:r>
      <w:r>
        <w:rPr>
          <w:lang w:eastAsia="en-US"/>
        </w:rPr>
        <w:t xml:space="preserve">work associated with the </w:t>
      </w:r>
      <w:r w:rsidR="008E546D" w:rsidRPr="008E546D">
        <w:rPr>
          <w:lang w:eastAsia="en-US"/>
        </w:rPr>
        <w:t xml:space="preserve">unnecessary administration of a separate sub-committee.  See </w:t>
      </w:r>
      <w:r w:rsidR="008E546D" w:rsidRPr="00C517E3">
        <w:rPr>
          <w:color w:val="auto"/>
          <w:lang w:eastAsia="en-US"/>
        </w:rPr>
        <w:t xml:space="preserve">appendix </w:t>
      </w:r>
      <w:r w:rsidR="00C517E3" w:rsidRPr="00C517E3">
        <w:rPr>
          <w:color w:val="auto"/>
          <w:lang w:eastAsia="en-US"/>
        </w:rPr>
        <w:t>1</w:t>
      </w:r>
      <w:r w:rsidR="008E546D" w:rsidRPr="008E546D">
        <w:rPr>
          <w:lang w:eastAsia="en-US"/>
        </w:rPr>
        <w:t xml:space="preserve"> for </w:t>
      </w:r>
      <w:r>
        <w:rPr>
          <w:lang w:eastAsia="en-US"/>
        </w:rPr>
        <w:t xml:space="preserve">proposed </w:t>
      </w:r>
      <w:r w:rsidR="008E546D" w:rsidRPr="008E546D">
        <w:rPr>
          <w:lang w:eastAsia="en-US"/>
        </w:rPr>
        <w:t xml:space="preserve">combined </w:t>
      </w:r>
      <w:r w:rsidR="003A1E54">
        <w:t>Powers and Duties of GPL Sub-Committees</w:t>
      </w:r>
      <w:r w:rsidR="008E546D" w:rsidRPr="008E546D">
        <w:rPr>
          <w:lang w:eastAsia="en-US"/>
        </w:rPr>
        <w:t>.</w:t>
      </w:r>
    </w:p>
    <w:p w:rsidR="001F7967" w:rsidRDefault="001F7967" w:rsidP="001F7967">
      <w:pPr>
        <w:pStyle w:val="Heading1"/>
      </w:pPr>
      <w:r>
        <w:t>Options for the Sub-Committee structure</w:t>
      </w:r>
    </w:p>
    <w:p w:rsidR="00887493" w:rsidRDefault="001F7967" w:rsidP="003A1E54">
      <w:pPr>
        <w:pStyle w:val="bParagraphtext"/>
        <w:tabs>
          <w:tab w:val="clear" w:pos="426"/>
        </w:tabs>
        <w:ind w:left="567" w:hanging="567"/>
        <w:rPr>
          <w:lang w:eastAsia="en-US"/>
        </w:rPr>
      </w:pPr>
      <w:r>
        <w:rPr>
          <w:lang w:eastAsia="en-US"/>
        </w:rPr>
        <w:t>There are a number of options for the structure of the combined sub-committee.  But in all of these the objective should be to broaden membership and address skills and experience deficit. In all options the LGA requirement that the</w:t>
      </w:r>
      <w:r w:rsidR="005A5C51">
        <w:rPr>
          <w:lang w:eastAsia="en-US"/>
        </w:rPr>
        <w:t xml:space="preserve"> sub-committee </w:t>
      </w:r>
      <w:r>
        <w:rPr>
          <w:lang w:eastAsia="en-US"/>
        </w:rPr>
        <w:t>needs to</w:t>
      </w:r>
      <w:r w:rsidR="005A5C51">
        <w:rPr>
          <w:lang w:eastAsia="en-US"/>
        </w:rPr>
        <w:t xml:space="preserve"> be politically balanced</w:t>
      </w:r>
      <w:r>
        <w:rPr>
          <w:lang w:eastAsia="en-US"/>
        </w:rPr>
        <w:t xml:space="preserve"> can be met.</w:t>
      </w:r>
      <w:r w:rsidR="00887493">
        <w:rPr>
          <w:lang w:eastAsia="en-US"/>
        </w:rPr>
        <w:t xml:space="preserve"> Current composition of the Council means that the sub-committee of 3 should comprise 2 x Labour and 1 x Lib-Dem.  </w:t>
      </w:r>
    </w:p>
    <w:p w:rsidR="005C623F" w:rsidRDefault="005C623F" w:rsidP="003A1E54">
      <w:pPr>
        <w:pStyle w:val="bParagraphtext"/>
        <w:numPr>
          <w:ilvl w:val="0"/>
          <w:numId w:val="0"/>
        </w:numPr>
        <w:tabs>
          <w:tab w:val="clear" w:pos="426"/>
        </w:tabs>
        <w:ind w:left="567"/>
        <w:rPr>
          <w:b/>
          <w:lang w:eastAsia="en-US"/>
        </w:rPr>
      </w:pPr>
    </w:p>
    <w:p w:rsidR="007C75E5" w:rsidRPr="00887493" w:rsidRDefault="007C75E5" w:rsidP="003A1E54">
      <w:pPr>
        <w:pStyle w:val="bParagraphtext"/>
        <w:numPr>
          <w:ilvl w:val="0"/>
          <w:numId w:val="0"/>
        </w:numPr>
        <w:tabs>
          <w:tab w:val="clear" w:pos="426"/>
        </w:tabs>
        <w:ind w:left="567"/>
        <w:rPr>
          <w:b/>
          <w:lang w:eastAsia="en-US"/>
        </w:rPr>
      </w:pPr>
      <w:r w:rsidRPr="00887493">
        <w:rPr>
          <w:b/>
          <w:lang w:eastAsia="en-US"/>
        </w:rPr>
        <w:t xml:space="preserve">Option 1 – </w:t>
      </w:r>
      <w:r w:rsidR="001E3547" w:rsidRPr="00887493">
        <w:rPr>
          <w:b/>
          <w:lang w:eastAsia="en-US"/>
        </w:rPr>
        <w:t xml:space="preserve">1 x </w:t>
      </w:r>
      <w:r w:rsidRPr="00887493">
        <w:rPr>
          <w:b/>
          <w:lang w:eastAsia="en-US"/>
        </w:rPr>
        <w:t>combined sub</w:t>
      </w:r>
      <w:r w:rsidR="001E3547" w:rsidRPr="00887493">
        <w:rPr>
          <w:b/>
          <w:lang w:eastAsia="en-US"/>
        </w:rPr>
        <w:t>-</w:t>
      </w:r>
      <w:r w:rsidRPr="00887493">
        <w:rPr>
          <w:b/>
          <w:lang w:eastAsia="en-US"/>
        </w:rPr>
        <w:t>comm</w:t>
      </w:r>
      <w:r w:rsidR="001E3547" w:rsidRPr="00887493">
        <w:rPr>
          <w:b/>
          <w:lang w:eastAsia="en-US"/>
        </w:rPr>
        <w:t>ittee</w:t>
      </w:r>
      <w:r w:rsidRPr="00887493">
        <w:rPr>
          <w:b/>
          <w:lang w:eastAsia="en-US"/>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638"/>
        <w:gridCol w:w="2756"/>
        <w:gridCol w:w="2693"/>
      </w:tblGrid>
      <w:tr w:rsidR="001E3547" w:rsidRPr="008E546D" w:rsidTr="003A1E54">
        <w:tc>
          <w:tcPr>
            <w:tcW w:w="8647" w:type="dxa"/>
            <w:gridSpan w:val="4"/>
            <w:shd w:val="clear" w:color="auto" w:fill="FDE9D9"/>
          </w:tcPr>
          <w:p w:rsidR="001E3547" w:rsidRPr="008E546D" w:rsidRDefault="001E3547" w:rsidP="00DC5712">
            <w:pPr>
              <w:spacing w:after="0"/>
              <w:rPr>
                <w:rFonts w:cs="Arial"/>
                <w:color w:val="auto"/>
                <w:lang w:eastAsia="en-US"/>
              </w:rPr>
            </w:pPr>
            <w:r>
              <w:rPr>
                <w:rFonts w:cs="Arial"/>
                <w:color w:val="auto"/>
                <w:lang w:eastAsia="en-US"/>
              </w:rPr>
              <w:t xml:space="preserve">Table 1: </w:t>
            </w:r>
            <w:r w:rsidRPr="008E546D">
              <w:rPr>
                <w:rFonts w:cs="Arial"/>
                <w:color w:val="auto"/>
                <w:lang w:eastAsia="en-US"/>
              </w:rPr>
              <w:t>Political balance (</w:t>
            </w:r>
            <w:r>
              <w:rPr>
                <w:rFonts w:cs="Arial"/>
                <w:color w:val="auto"/>
                <w:lang w:eastAsia="en-US"/>
              </w:rPr>
              <w:t>3</w:t>
            </w:r>
            <w:r w:rsidRPr="008E546D">
              <w:rPr>
                <w:rFonts w:cs="Arial"/>
                <w:color w:val="auto"/>
                <w:lang w:eastAsia="en-US"/>
              </w:rPr>
              <w:t xml:space="preserve"> out of 10 GPL members able to participate</w:t>
            </w:r>
            <w:r w:rsidR="00DC5712">
              <w:rPr>
                <w:rFonts w:cs="Arial"/>
                <w:color w:val="auto"/>
                <w:lang w:eastAsia="en-US"/>
              </w:rPr>
              <w:t xml:space="preserve"> </w:t>
            </w:r>
            <w:r>
              <w:rPr>
                <w:rFonts w:cs="Arial"/>
                <w:color w:val="auto"/>
                <w:lang w:eastAsia="en-US"/>
              </w:rPr>
              <w:t>but does not meet broader skills test</w:t>
            </w:r>
            <w:r w:rsidR="00DC5712">
              <w:rPr>
                <w:rFonts w:cs="Arial"/>
                <w:color w:val="auto"/>
                <w:lang w:eastAsia="en-US"/>
              </w:rPr>
              <w:t>)</w:t>
            </w:r>
          </w:p>
        </w:tc>
      </w:tr>
      <w:tr w:rsidR="001E3547" w:rsidRPr="008E546D" w:rsidTr="003A1E54">
        <w:tc>
          <w:tcPr>
            <w:tcW w:w="1560" w:type="dxa"/>
            <w:shd w:val="clear" w:color="auto" w:fill="FDE9D9"/>
          </w:tcPr>
          <w:p w:rsidR="001E3547" w:rsidRPr="008E546D" w:rsidRDefault="001E3547" w:rsidP="002D4E5D">
            <w:pPr>
              <w:spacing w:after="0"/>
              <w:rPr>
                <w:rFonts w:cs="Arial"/>
                <w:color w:val="auto"/>
                <w:lang w:eastAsia="en-US"/>
              </w:rPr>
            </w:pPr>
            <w:r w:rsidRPr="008E546D">
              <w:rPr>
                <w:rFonts w:cs="Arial"/>
                <w:color w:val="auto"/>
                <w:lang w:eastAsia="en-US"/>
              </w:rPr>
              <w:t>Sub Committee</w:t>
            </w:r>
          </w:p>
        </w:tc>
        <w:tc>
          <w:tcPr>
            <w:tcW w:w="1638" w:type="dxa"/>
            <w:shd w:val="clear" w:color="auto" w:fill="FDE9D9"/>
          </w:tcPr>
          <w:p w:rsidR="001E3547" w:rsidRPr="008E546D" w:rsidRDefault="001E3547" w:rsidP="002D4E5D">
            <w:pPr>
              <w:spacing w:after="0"/>
              <w:rPr>
                <w:rFonts w:cs="Arial"/>
                <w:color w:val="auto"/>
                <w:lang w:eastAsia="en-US"/>
              </w:rPr>
            </w:pPr>
            <w:r w:rsidRPr="008E546D">
              <w:rPr>
                <w:rFonts w:cs="Arial"/>
                <w:color w:val="auto"/>
                <w:lang w:eastAsia="en-US"/>
              </w:rPr>
              <w:t>Chair</w:t>
            </w:r>
          </w:p>
        </w:tc>
        <w:tc>
          <w:tcPr>
            <w:tcW w:w="2756" w:type="dxa"/>
            <w:shd w:val="clear" w:color="auto" w:fill="FDE9D9"/>
          </w:tcPr>
          <w:p w:rsidR="001E3547" w:rsidRPr="008E546D" w:rsidRDefault="001E3547" w:rsidP="002D4E5D">
            <w:pPr>
              <w:spacing w:after="0"/>
              <w:rPr>
                <w:rFonts w:cs="Arial"/>
                <w:color w:val="auto"/>
                <w:lang w:eastAsia="en-US"/>
              </w:rPr>
            </w:pPr>
            <w:r w:rsidRPr="008E546D">
              <w:rPr>
                <w:rFonts w:cs="Arial"/>
                <w:color w:val="auto"/>
                <w:lang w:eastAsia="en-US"/>
              </w:rPr>
              <w:t>Membership</w:t>
            </w:r>
          </w:p>
        </w:tc>
        <w:tc>
          <w:tcPr>
            <w:tcW w:w="2693" w:type="dxa"/>
            <w:shd w:val="clear" w:color="auto" w:fill="FDE9D9"/>
          </w:tcPr>
          <w:p w:rsidR="001E3547" w:rsidRPr="008E546D" w:rsidRDefault="001E3547" w:rsidP="002D4E5D">
            <w:pPr>
              <w:spacing w:after="0"/>
              <w:rPr>
                <w:rFonts w:cs="Arial"/>
                <w:color w:val="auto"/>
                <w:lang w:eastAsia="en-US"/>
              </w:rPr>
            </w:pPr>
          </w:p>
        </w:tc>
      </w:tr>
      <w:tr w:rsidR="001E3547" w:rsidRPr="008E546D" w:rsidTr="003A1E54">
        <w:trPr>
          <w:trHeight w:val="848"/>
        </w:trPr>
        <w:tc>
          <w:tcPr>
            <w:tcW w:w="1560" w:type="dxa"/>
            <w:shd w:val="clear" w:color="auto" w:fill="auto"/>
          </w:tcPr>
          <w:p w:rsidR="001E3547" w:rsidRPr="008E546D" w:rsidRDefault="001E3547" w:rsidP="002D4E5D">
            <w:pPr>
              <w:spacing w:after="0"/>
              <w:rPr>
                <w:rFonts w:cs="Arial"/>
                <w:color w:val="auto"/>
                <w:lang w:eastAsia="en-US"/>
              </w:rPr>
            </w:pPr>
            <w:r w:rsidRPr="008E546D">
              <w:rPr>
                <w:rFonts w:cs="Arial"/>
                <w:color w:val="auto"/>
                <w:lang w:eastAsia="en-US"/>
              </w:rPr>
              <w:t>A</w:t>
            </w:r>
          </w:p>
        </w:tc>
        <w:tc>
          <w:tcPr>
            <w:tcW w:w="1638" w:type="dxa"/>
            <w:shd w:val="clear" w:color="auto" w:fill="auto"/>
          </w:tcPr>
          <w:p w:rsidR="001E3547" w:rsidRPr="008E546D" w:rsidRDefault="001E3547" w:rsidP="002D4E5D">
            <w:pPr>
              <w:spacing w:after="0"/>
              <w:rPr>
                <w:rFonts w:cs="Arial"/>
                <w:color w:val="auto"/>
                <w:lang w:eastAsia="en-US"/>
              </w:rPr>
            </w:pPr>
            <w:r w:rsidRPr="008E546D">
              <w:rPr>
                <w:rFonts w:cs="Arial"/>
                <w:color w:val="auto"/>
                <w:lang w:eastAsia="en-US"/>
              </w:rPr>
              <w:t>GPL Chair</w:t>
            </w:r>
          </w:p>
        </w:tc>
        <w:tc>
          <w:tcPr>
            <w:tcW w:w="2756" w:type="dxa"/>
            <w:shd w:val="clear" w:color="auto" w:fill="auto"/>
          </w:tcPr>
          <w:p w:rsidR="001E3547" w:rsidRPr="008E546D" w:rsidRDefault="001E3547" w:rsidP="002D4E5D">
            <w:pPr>
              <w:spacing w:after="0"/>
              <w:rPr>
                <w:rFonts w:cs="Arial"/>
                <w:color w:val="auto"/>
                <w:lang w:eastAsia="en-US"/>
              </w:rPr>
            </w:pPr>
            <w:r w:rsidRPr="008E546D">
              <w:rPr>
                <w:rFonts w:cs="Arial"/>
                <w:color w:val="auto"/>
                <w:lang w:eastAsia="en-US"/>
              </w:rPr>
              <w:t xml:space="preserve"> GPL V Chair</w:t>
            </w:r>
          </w:p>
          <w:p w:rsidR="001E3547" w:rsidRPr="008E546D" w:rsidRDefault="001E3547" w:rsidP="002D4E5D">
            <w:pPr>
              <w:spacing w:after="0"/>
              <w:rPr>
                <w:rFonts w:cs="Arial"/>
                <w:color w:val="auto"/>
                <w:lang w:eastAsia="en-US"/>
              </w:rPr>
            </w:pPr>
            <w:r w:rsidRPr="008E546D">
              <w:rPr>
                <w:rFonts w:cs="Arial"/>
                <w:color w:val="auto"/>
                <w:lang w:eastAsia="en-US"/>
              </w:rPr>
              <w:t xml:space="preserve"> Lib Dem A</w:t>
            </w:r>
          </w:p>
        </w:tc>
        <w:tc>
          <w:tcPr>
            <w:tcW w:w="2693" w:type="dxa"/>
            <w:shd w:val="clear" w:color="auto" w:fill="auto"/>
          </w:tcPr>
          <w:p w:rsidR="001E3547" w:rsidRPr="008E546D" w:rsidRDefault="001E3547" w:rsidP="002D4E5D">
            <w:pPr>
              <w:spacing w:after="0"/>
              <w:rPr>
                <w:rFonts w:cs="Arial"/>
                <w:color w:val="auto"/>
                <w:lang w:eastAsia="en-US"/>
              </w:rPr>
            </w:pPr>
            <w:r>
              <w:rPr>
                <w:rFonts w:cs="Arial"/>
                <w:color w:val="auto"/>
                <w:lang w:eastAsia="en-US"/>
              </w:rPr>
              <w:t>All meetings</w:t>
            </w:r>
          </w:p>
        </w:tc>
      </w:tr>
    </w:tbl>
    <w:p w:rsidR="00A11E82" w:rsidRDefault="00A11E82" w:rsidP="003A1E54">
      <w:pPr>
        <w:pStyle w:val="Heading1"/>
        <w:ind w:left="284" w:firstLine="283"/>
        <w:rPr>
          <w:lang w:eastAsia="en-US"/>
        </w:rPr>
      </w:pPr>
    </w:p>
    <w:p w:rsidR="00A11E82" w:rsidRDefault="00A11E82">
      <w:pPr>
        <w:spacing w:after="0"/>
        <w:rPr>
          <w:b/>
          <w:lang w:eastAsia="en-US"/>
        </w:rPr>
      </w:pPr>
      <w:r>
        <w:rPr>
          <w:lang w:eastAsia="en-US"/>
        </w:rPr>
        <w:br w:type="page"/>
      </w:r>
    </w:p>
    <w:p w:rsidR="001E3547" w:rsidRDefault="007C75E5" w:rsidP="003A1E54">
      <w:pPr>
        <w:pStyle w:val="Heading1"/>
        <w:ind w:left="284" w:firstLine="283"/>
        <w:rPr>
          <w:lang w:eastAsia="en-US"/>
        </w:rPr>
      </w:pPr>
      <w:r>
        <w:rPr>
          <w:lang w:eastAsia="en-US"/>
        </w:rPr>
        <w:lastRenderedPageBreak/>
        <w:t>Option 2 - 2 x combined sub</w:t>
      </w:r>
      <w:r w:rsidR="001E3547">
        <w:rPr>
          <w:lang w:eastAsia="en-US"/>
        </w:rPr>
        <w:t>-</w:t>
      </w:r>
      <w:r>
        <w:rPr>
          <w:lang w:eastAsia="en-US"/>
        </w:rPr>
        <w:t>comm</w:t>
      </w:r>
      <w:r w:rsidR="001E3547">
        <w:rPr>
          <w:lang w:eastAsia="en-US"/>
        </w:rPr>
        <w:t>ittee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97"/>
        <w:gridCol w:w="2756"/>
        <w:gridCol w:w="2693"/>
      </w:tblGrid>
      <w:tr w:rsidR="00DC5712" w:rsidRPr="008E546D" w:rsidTr="003A1E54">
        <w:tc>
          <w:tcPr>
            <w:tcW w:w="8647" w:type="dxa"/>
            <w:gridSpan w:val="4"/>
            <w:shd w:val="clear" w:color="auto" w:fill="FDE9D9"/>
          </w:tcPr>
          <w:p w:rsidR="00DC5712" w:rsidRPr="008E546D" w:rsidRDefault="00DC5712" w:rsidP="00DC5712">
            <w:pPr>
              <w:spacing w:after="0"/>
              <w:rPr>
                <w:rFonts w:cs="Arial"/>
                <w:color w:val="auto"/>
                <w:lang w:eastAsia="en-US"/>
              </w:rPr>
            </w:pPr>
            <w:r>
              <w:rPr>
                <w:lang w:eastAsia="en-US"/>
              </w:rPr>
              <w:t xml:space="preserve">Table 2: </w:t>
            </w:r>
            <w:r w:rsidRPr="008E546D">
              <w:rPr>
                <w:rFonts w:cs="Arial"/>
                <w:color w:val="auto"/>
                <w:lang w:eastAsia="en-US"/>
              </w:rPr>
              <w:t>Political balance (</w:t>
            </w:r>
            <w:r>
              <w:rPr>
                <w:rFonts w:cs="Arial"/>
                <w:color w:val="auto"/>
                <w:lang w:eastAsia="en-US"/>
              </w:rPr>
              <w:t>6</w:t>
            </w:r>
            <w:r w:rsidRPr="008E546D">
              <w:rPr>
                <w:rFonts w:cs="Arial"/>
                <w:color w:val="auto"/>
                <w:lang w:eastAsia="en-US"/>
              </w:rPr>
              <w:t xml:space="preserve"> out of 10 GPL members able to participate</w:t>
            </w:r>
            <w:r>
              <w:rPr>
                <w:rFonts w:cs="Arial"/>
                <w:color w:val="auto"/>
                <w:lang w:eastAsia="en-US"/>
              </w:rPr>
              <w:t>; expands broader skills test by 3</w:t>
            </w:r>
            <w:r w:rsidRPr="008E546D">
              <w:rPr>
                <w:rFonts w:cs="Arial"/>
                <w:color w:val="auto"/>
                <w:lang w:eastAsia="en-US"/>
              </w:rPr>
              <w:t>)</w:t>
            </w:r>
          </w:p>
        </w:tc>
      </w:tr>
      <w:tr w:rsidR="00DC5712" w:rsidRPr="008E546D" w:rsidTr="003A1E54">
        <w:tc>
          <w:tcPr>
            <w:tcW w:w="1701" w:type="dxa"/>
            <w:shd w:val="clear" w:color="auto" w:fill="FDE9D9"/>
          </w:tcPr>
          <w:p w:rsidR="00DC5712" w:rsidRPr="008E546D" w:rsidRDefault="00DC5712" w:rsidP="002D4E5D">
            <w:pPr>
              <w:spacing w:after="0"/>
              <w:rPr>
                <w:rFonts w:cs="Arial"/>
                <w:color w:val="auto"/>
                <w:lang w:eastAsia="en-US"/>
              </w:rPr>
            </w:pPr>
            <w:r w:rsidRPr="008E546D">
              <w:rPr>
                <w:rFonts w:cs="Arial"/>
                <w:color w:val="auto"/>
                <w:lang w:eastAsia="en-US"/>
              </w:rPr>
              <w:t>Sub Committee</w:t>
            </w:r>
          </w:p>
        </w:tc>
        <w:tc>
          <w:tcPr>
            <w:tcW w:w="1497" w:type="dxa"/>
            <w:shd w:val="clear" w:color="auto" w:fill="FDE9D9"/>
          </w:tcPr>
          <w:p w:rsidR="00DC5712" w:rsidRPr="008E546D" w:rsidRDefault="00DC5712" w:rsidP="002D4E5D">
            <w:pPr>
              <w:spacing w:after="0"/>
              <w:rPr>
                <w:rFonts w:cs="Arial"/>
                <w:color w:val="auto"/>
                <w:lang w:eastAsia="en-US"/>
              </w:rPr>
            </w:pPr>
            <w:r w:rsidRPr="008E546D">
              <w:rPr>
                <w:rFonts w:cs="Arial"/>
                <w:color w:val="auto"/>
                <w:lang w:eastAsia="en-US"/>
              </w:rPr>
              <w:t>Chair</w:t>
            </w:r>
          </w:p>
        </w:tc>
        <w:tc>
          <w:tcPr>
            <w:tcW w:w="2756" w:type="dxa"/>
            <w:shd w:val="clear" w:color="auto" w:fill="FDE9D9"/>
          </w:tcPr>
          <w:p w:rsidR="00DC5712" w:rsidRPr="008E546D" w:rsidRDefault="00DC5712" w:rsidP="002D4E5D">
            <w:pPr>
              <w:spacing w:after="0"/>
              <w:rPr>
                <w:rFonts w:cs="Arial"/>
                <w:color w:val="auto"/>
                <w:lang w:eastAsia="en-US"/>
              </w:rPr>
            </w:pPr>
            <w:r w:rsidRPr="008E546D">
              <w:rPr>
                <w:rFonts w:cs="Arial"/>
                <w:color w:val="auto"/>
                <w:lang w:eastAsia="en-US"/>
              </w:rPr>
              <w:t>Membership</w:t>
            </w:r>
          </w:p>
        </w:tc>
        <w:tc>
          <w:tcPr>
            <w:tcW w:w="2693" w:type="dxa"/>
            <w:shd w:val="clear" w:color="auto" w:fill="FDE9D9"/>
          </w:tcPr>
          <w:p w:rsidR="00DC5712" w:rsidRPr="008E546D" w:rsidRDefault="00DC5712" w:rsidP="002D4E5D">
            <w:pPr>
              <w:spacing w:after="0"/>
              <w:rPr>
                <w:rFonts w:cs="Arial"/>
                <w:color w:val="auto"/>
                <w:lang w:eastAsia="en-US"/>
              </w:rPr>
            </w:pPr>
            <w:r w:rsidRPr="008E546D">
              <w:rPr>
                <w:rFonts w:cs="Arial"/>
                <w:color w:val="auto"/>
                <w:lang w:eastAsia="en-US"/>
              </w:rPr>
              <w:t>Dates</w:t>
            </w:r>
          </w:p>
        </w:tc>
      </w:tr>
      <w:tr w:rsidR="00DC5712" w:rsidRPr="008E546D" w:rsidTr="003A1E54">
        <w:trPr>
          <w:trHeight w:val="1402"/>
        </w:trPr>
        <w:tc>
          <w:tcPr>
            <w:tcW w:w="1701" w:type="dxa"/>
            <w:shd w:val="clear" w:color="auto" w:fill="auto"/>
          </w:tcPr>
          <w:p w:rsidR="00DC5712" w:rsidRPr="008E546D" w:rsidRDefault="00DC5712" w:rsidP="002D4E5D">
            <w:pPr>
              <w:spacing w:after="0"/>
              <w:rPr>
                <w:rFonts w:cs="Arial"/>
                <w:color w:val="auto"/>
                <w:lang w:eastAsia="en-US"/>
              </w:rPr>
            </w:pPr>
            <w:r w:rsidRPr="008E546D">
              <w:rPr>
                <w:rFonts w:cs="Arial"/>
                <w:color w:val="auto"/>
                <w:lang w:eastAsia="en-US"/>
              </w:rPr>
              <w:t>A</w:t>
            </w:r>
          </w:p>
        </w:tc>
        <w:tc>
          <w:tcPr>
            <w:tcW w:w="1497" w:type="dxa"/>
            <w:shd w:val="clear" w:color="auto" w:fill="auto"/>
          </w:tcPr>
          <w:p w:rsidR="00DC5712" w:rsidRPr="008E546D" w:rsidRDefault="00DC5712" w:rsidP="002D4E5D">
            <w:pPr>
              <w:spacing w:after="0"/>
              <w:rPr>
                <w:rFonts w:cs="Arial"/>
                <w:color w:val="auto"/>
                <w:lang w:eastAsia="en-US"/>
              </w:rPr>
            </w:pPr>
            <w:r w:rsidRPr="008E546D">
              <w:rPr>
                <w:rFonts w:cs="Arial"/>
                <w:color w:val="auto"/>
                <w:lang w:eastAsia="en-US"/>
              </w:rPr>
              <w:t>GPL Chair</w:t>
            </w:r>
          </w:p>
        </w:tc>
        <w:tc>
          <w:tcPr>
            <w:tcW w:w="2756" w:type="dxa"/>
            <w:shd w:val="clear" w:color="auto" w:fill="auto"/>
          </w:tcPr>
          <w:p w:rsidR="00DC5712" w:rsidRPr="008E546D" w:rsidRDefault="00DC5712" w:rsidP="002D4E5D">
            <w:pPr>
              <w:spacing w:after="0"/>
              <w:rPr>
                <w:rFonts w:cs="Arial"/>
                <w:color w:val="auto"/>
                <w:lang w:eastAsia="en-US"/>
              </w:rPr>
            </w:pPr>
            <w:r w:rsidRPr="008E546D">
              <w:rPr>
                <w:rFonts w:cs="Arial"/>
                <w:color w:val="auto"/>
                <w:lang w:eastAsia="en-US"/>
              </w:rPr>
              <w:t xml:space="preserve"> Labour A</w:t>
            </w:r>
          </w:p>
          <w:p w:rsidR="00DC5712" w:rsidRPr="008E546D" w:rsidRDefault="00DC5712" w:rsidP="002D4E5D">
            <w:pPr>
              <w:spacing w:after="0"/>
              <w:rPr>
                <w:rFonts w:cs="Arial"/>
                <w:color w:val="auto"/>
                <w:lang w:eastAsia="en-US"/>
              </w:rPr>
            </w:pPr>
            <w:r w:rsidRPr="008E546D">
              <w:rPr>
                <w:rFonts w:cs="Arial"/>
                <w:color w:val="auto"/>
                <w:lang w:eastAsia="en-US"/>
              </w:rPr>
              <w:t xml:space="preserve"> Lib Dem A</w:t>
            </w:r>
          </w:p>
        </w:tc>
        <w:tc>
          <w:tcPr>
            <w:tcW w:w="2693" w:type="dxa"/>
            <w:shd w:val="clear" w:color="auto" w:fill="auto"/>
          </w:tcPr>
          <w:p w:rsidR="00DC5712" w:rsidRDefault="00DC5712" w:rsidP="002D4E5D">
            <w:pPr>
              <w:spacing w:after="0"/>
              <w:rPr>
                <w:rFonts w:cs="Arial"/>
                <w:color w:val="auto"/>
                <w:lang w:eastAsia="en-US"/>
              </w:rPr>
            </w:pPr>
            <w:r w:rsidRPr="008E546D">
              <w:rPr>
                <w:rFonts w:cs="Arial"/>
                <w:color w:val="auto"/>
                <w:lang w:eastAsia="en-US"/>
              </w:rPr>
              <w:t>30 May 2017</w:t>
            </w:r>
          </w:p>
          <w:p w:rsidR="00DC5712" w:rsidRDefault="00DC5712" w:rsidP="002D4E5D">
            <w:pPr>
              <w:spacing w:after="0"/>
              <w:rPr>
                <w:rFonts w:cs="Arial"/>
                <w:color w:val="auto"/>
                <w:lang w:eastAsia="en-US"/>
              </w:rPr>
            </w:pPr>
            <w:r w:rsidRPr="008E546D">
              <w:rPr>
                <w:rFonts w:cs="Arial"/>
                <w:color w:val="auto"/>
                <w:lang w:eastAsia="en-US"/>
              </w:rPr>
              <w:t>7 Aug 2017</w:t>
            </w:r>
          </w:p>
          <w:p w:rsidR="00DC5712" w:rsidRDefault="00DC5712" w:rsidP="002D4E5D">
            <w:pPr>
              <w:spacing w:after="0"/>
              <w:rPr>
                <w:rFonts w:cs="Arial"/>
                <w:color w:val="auto"/>
                <w:lang w:eastAsia="en-US"/>
              </w:rPr>
            </w:pPr>
            <w:r w:rsidRPr="008E546D">
              <w:rPr>
                <w:rFonts w:cs="Arial"/>
                <w:color w:val="auto"/>
                <w:lang w:eastAsia="en-US"/>
              </w:rPr>
              <w:t>30 Oct 2017</w:t>
            </w:r>
          </w:p>
          <w:p w:rsidR="00DC5712" w:rsidRDefault="00DC5712" w:rsidP="002D4E5D">
            <w:pPr>
              <w:spacing w:after="0"/>
              <w:rPr>
                <w:rFonts w:cs="Arial"/>
                <w:color w:val="auto"/>
                <w:lang w:eastAsia="en-US"/>
              </w:rPr>
            </w:pPr>
            <w:r w:rsidRPr="008E546D">
              <w:rPr>
                <w:rFonts w:cs="Arial"/>
                <w:color w:val="auto"/>
                <w:lang w:eastAsia="en-US"/>
              </w:rPr>
              <w:t>22 Jan 2018</w:t>
            </w:r>
          </w:p>
          <w:p w:rsidR="00DC5712" w:rsidRPr="008E546D" w:rsidRDefault="00DC5712" w:rsidP="002D4E5D">
            <w:pPr>
              <w:spacing w:after="0"/>
              <w:rPr>
                <w:rFonts w:cs="Arial"/>
                <w:color w:val="auto"/>
                <w:lang w:eastAsia="en-US"/>
              </w:rPr>
            </w:pPr>
            <w:r w:rsidRPr="008E546D">
              <w:rPr>
                <w:rFonts w:cs="Arial"/>
                <w:color w:val="auto"/>
                <w:lang w:eastAsia="en-US"/>
              </w:rPr>
              <w:t>16 April 2018</w:t>
            </w:r>
          </w:p>
        </w:tc>
      </w:tr>
      <w:tr w:rsidR="00DC5712" w:rsidRPr="008E546D" w:rsidTr="003A1E54">
        <w:trPr>
          <w:trHeight w:val="1138"/>
        </w:trPr>
        <w:tc>
          <w:tcPr>
            <w:tcW w:w="1701" w:type="dxa"/>
            <w:shd w:val="clear" w:color="auto" w:fill="auto"/>
          </w:tcPr>
          <w:p w:rsidR="00DC5712" w:rsidRPr="008E546D" w:rsidRDefault="00DC5712" w:rsidP="002D4E5D">
            <w:pPr>
              <w:spacing w:after="0"/>
              <w:rPr>
                <w:rFonts w:cs="Arial"/>
                <w:color w:val="auto"/>
                <w:lang w:eastAsia="en-US"/>
              </w:rPr>
            </w:pPr>
            <w:r w:rsidRPr="008E546D">
              <w:rPr>
                <w:rFonts w:cs="Arial"/>
                <w:color w:val="auto"/>
                <w:lang w:eastAsia="en-US"/>
              </w:rPr>
              <w:t>B</w:t>
            </w:r>
          </w:p>
        </w:tc>
        <w:tc>
          <w:tcPr>
            <w:tcW w:w="1497" w:type="dxa"/>
            <w:shd w:val="clear" w:color="auto" w:fill="auto"/>
          </w:tcPr>
          <w:p w:rsidR="00DC5712" w:rsidRPr="008E546D" w:rsidRDefault="00DC5712" w:rsidP="002D4E5D">
            <w:pPr>
              <w:spacing w:after="0"/>
              <w:rPr>
                <w:rFonts w:cs="Arial"/>
                <w:color w:val="auto"/>
                <w:lang w:eastAsia="en-US"/>
              </w:rPr>
            </w:pPr>
            <w:r w:rsidRPr="008E546D">
              <w:rPr>
                <w:rFonts w:cs="Arial"/>
                <w:color w:val="auto"/>
                <w:lang w:eastAsia="en-US"/>
              </w:rPr>
              <w:t>GPL V Chair</w:t>
            </w:r>
          </w:p>
        </w:tc>
        <w:tc>
          <w:tcPr>
            <w:tcW w:w="2756" w:type="dxa"/>
            <w:shd w:val="clear" w:color="auto" w:fill="auto"/>
          </w:tcPr>
          <w:p w:rsidR="00DC5712" w:rsidRPr="008E546D" w:rsidRDefault="00DC5712" w:rsidP="002D4E5D">
            <w:pPr>
              <w:spacing w:after="0"/>
              <w:rPr>
                <w:rFonts w:cs="Arial"/>
                <w:color w:val="auto"/>
                <w:lang w:eastAsia="en-US"/>
              </w:rPr>
            </w:pPr>
            <w:r w:rsidRPr="008E546D">
              <w:rPr>
                <w:rFonts w:cs="Arial"/>
                <w:color w:val="auto"/>
                <w:lang w:eastAsia="en-US"/>
              </w:rPr>
              <w:t xml:space="preserve"> Labour B</w:t>
            </w:r>
          </w:p>
          <w:p w:rsidR="00DC5712" w:rsidRPr="008E546D" w:rsidRDefault="00DC5712" w:rsidP="002D4E5D">
            <w:pPr>
              <w:spacing w:after="0"/>
              <w:rPr>
                <w:rFonts w:cs="Arial"/>
                <w:color w:val="auto"/>
                <w:lang w:eastAsia="en-US"/>
              </w:rPr>
            </w:pPr>
            <w:r w:rsidRPr="008E546D">
              <w:rPr>
                <w:rFonts w:cs="Arial"/>
                <w:color w:val="auto"/>
                <w:lang w:eastAsia="en-US"/>
              </w:rPr>
              <w:t xml:space="preserve"> Lib Dem B</w:t>
            </w:r>
          </w:p>
        </w:tc>
        <w:tc>
          <w:tcPr>
            <w:tcW w:w="2693" w:type="dxa"/>
            <w:shd w:val="clear" w:color="auto" w:fill="auto"/>
          </w:tcPr>
          <w:p w:rsidR="00DC5712" w:rsidRDefault="00DC5712" w:rsidP="002D4E5D">
            <w:pPr>
              <w:spacing w:after="0"/>
              <w:rPr>
                <w:rFonts w:cs="Arial"/>
                <w:color w:val="auto"/>
                <w:lang w:eastAsia="en-US"/>
              </w:rPr>
            </w:pPr>
            <w:r w:rsidRPr="008E546D">
              <w:rPr>
                <w:rFonts w:cs="Arial"/>
                <w:color w:val="auto"/>
                <w:lang w:eastAsia="en-US"/>
              </w:rPr>
              <w:t>26 June 2017</w:t>
            </w:r>
          </w:p>
          <w:p w:rsidR="00DC5712" w:rsidRDefault="00DC5712" w:rsidP="002D4E5D">
            <w:pPr>
              <w:spacing w:after="0"/>
              <w:rPr>
                <w:rFonts w:cs="Arial"/>
                <w:color w:val="auto"/>
                <w:lang w:eastAsia="en-US"/>
              </w:rPr>
            </w:pPr>
            <w:r w:rsidRPr="008E546D">
              <w:rPr>
                <w:rFonts w:cs="Arial"/>
                <w:color w:val="auto"/>
                <w:lang w:eastAsia="en-US"/>
              </w:rPr>
              <w:t>18 Sept 2017</w:t>
            </w:r>
          </w:p>
          <w:p w:rsidR="00DC5712" w:rsidRDefault="00DC5712" w:rsidP="002D4E5D">
            <w:pPr>
              <w:spacing w:after="0"/>
              <w:rPr>
                <w:rFonts w:cs="Arial"/>
                <w:color w:val="auto"/>
                <w:lang w:eastAsia="en-US"/>
              </w:rPr>
            </w:pPr>
            <w:r w:rsidRPr="008E546D">
              <w:rPr>
                <w:rFonts w:cs="Arial"/>
                <w:color w:val="auto"/>
                <w:lang w:eastAsia="en-US"/>
              </w:rPr>
              <w:t>11 Dec 2017</w:t>
            </w:r>
          </w:p>
          <w:p w:rsidR="00DC5712" w:rsidRPr="008E546D" w:rsidRDefault="00DC5712" w:rsidP="002D4E5D">
            <w:pPr>
              <w:spacing w:after="0"/>
              <w:rPr>
                <w:rFonts w:cs="Arial"/>
                <w:color w:val="auto"/>
                <w:lang w:eastAsia="en-US"/>
              </w:rPr>
            </w:pPr>
            <w:r w:rsidRPr="008E546D">
              <w:rPr>
                <w:rFonts w:cs="Arial"/>
                <w:color w:val="auto"/>
                <w:lang w:eastAsia="en-US"/>
              </w:rPr>
              <w:t>5 Mar 2018</w:t>
            </w:r>
          </w:p>
        </w:tc>
      </w:tr>
    </w:tbl>
    <w:p w:rsidR="007C75E5" w:rsidRDefault="007C75E5" w:rsidP="003A1E54">
      <w:pPr>
        <w:pStyle w:val="Heading1"/>
        <w:ind w:left="720" w:hanging="153"/>
        <w:rPr>
          <w:lang w:eastAsia="en-US"/>
        </w:rPr>
      </w:pPr>
      <w:r>
        <w:rPr>
          <w:lang w:eastAsia="en-US"/>
        </w:rPr>
        <w:t>Option 3 - Recommended / Preferred</w:t>
      </w:r>
      <w:r w:rsidR="00DC5712">
        <w:rPr>
          <w:lang w:eastAsia="en-US"/>
        </w:rPr>
        <w:t xml:space="preserve"> – 4 x combined sub-committee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937"/>
        <w:gridCol w:w="2756"/>
        <w:gridCol w:w="2693"/>
      </w:tblGrid>
      <w:tr w:rsidR="008E546D" w:rsidRPr="008E546D" w:rsidTr="003A1E54">
        <w:tc>
          <w:tcPr>
            <w:tcW w:w="8763" w:type="dxa"/>
            <w:gridSpan w:val="4"/>
            <w:shd w:val="clear" w:color="auto" w:fill="FDE9D9"/>
          </w:tcPr>
          <w:p w:rsidR="008E546D" w:rsidRPr="008E546D" w:rsidRDefault="00DC5712" w:rsidP="00DC5712">
            <w:pPr>
              <w:spacing w:after="0"/>
              <w:rPr>
                <w:rFonts w:cs="Arial"/>
                <w:color w:val="auto"/>
                <w:lang w:eastAsia="en-US"/>
              </w:rPr>
            </w:pPr>
            <w:r>
              <w:rPr>
                <w:rFonts w:cs="Arial"/>
                <w:color w:val="auto"/>
                <w:lang w:eastAsia="en-US"/>
              </w:rPr>
              <w:t xml:space="preserve">Table 3: </w:t>
            </w:r>
            <w:r w:rsidR="008E546D" w:rsidRPr="008E546D">
              <w:rPr>
                <w:rFonts w:cs="Arial"/>
                <w:color w:val="auto"/>
                <w:lang w:eastAsia="en-US"/>
              </w:rPr>
              <w:t xml:space="preserve">Political balance (8 out of 10 GPL members able to participate </w:t>
            </w:r>
            <w:r>
              <w:rPr>
                <w:rFonts w:cs="Arial"/>
                <w:color w:val="auto"/>
                <w:lang w:eastAsia="en-US"/>
              </w:rPr>
              <w:t>–</w:t>
            </w:r>
            <w:r w:rsidR="008E546D" w:rsidRPr="008E546D">
              <w:rPr>
                <w:rFonts w:cs="Arial"/>
                <w:color w:val="auto"/>
                <w:lang w:eastAsia="en-US"/>
              </w:rPr>
              <w:t xml:space="preserve"> </w:t>
            </w:r>
            <w:r>
              <w:rPr>
                <w:rFonts w:cs="Arial"/>
                <w:color w:val="auto"/>
                <w:lang w:eastAsia="en-US"/>
              </w:rPr>
              <w:t>meets broader skills test</w:t>
            </w:r>
            <w:r w:rsidR="008E546D" w:rsidRPr="008E546D">
              <w:rPr>
                <w:rFonts w:cs="Arial"/>
                <w:color w:val="auto"/>
                <w:lang w:eastAsia="en-US"/>
              </w:rPr>
              <w:t>)</w:t>
            </w:r>
          </w:p>
        </w:tc>
      </w:tr>
      <w:tr w:rsidR="008E546D" w:rsidRPr="008E546D" w:rsidTr="003A1E54">
        <w:tc>
          <w:tcPr>
            <w:tcW w:w="1377" w:type="dxa"/>
            <w:shd w:val="clear" w:color="auto" w:fill="FDE9D9"/>
          </w:tcPr>
          <w:p w:rsidR="008E546D" w:rsidRPr="008E546D" w:rsidRDefault="008E546D" w:rsidP="008E546D">
            <w:pPr>
              <w:spacing w:after="0"/>
              <w:rPr>
                <w:rFonts w:cs="Arial"/>
                <w:color w:val="auto"/>
                <w:lang w:eastAsia="en-US"/>
              </w:rPr>
            </w:pPr>
            <w:r w:rsidRPr="008E546D">
              <w:rPr>
                <w:rFonts w:cs="Arial"/>
                <w:color w:val="auto"/>
                <w:lang w:eastAsia="en-US"/>
              </w:rPr>
              <w:t>Sub Committee</w:t>
            </w:r>
          </w:p>
        </w:tc>
        <w:tc>
          <w:tcPr>
            <w:tcW w:w="1937" w:type="dxa"/>
            <w:shd w:val="clear" w:color="auto" w:fill="FDE9D9"/>
          </w:tcPr>
          <w:p w:rsidR="008E546D" w:rsidRPr="008E546D" w:rsidRDefault="008E546D" w:rsidP="008E546D">
            <w:pPr>
              <w:spacing w:after="0"/>
              <w:rPr>
                <w:rFonts w:cs="Arial"/>
                <w:color w:val="auto"/>
                <w:lang w:eastAsia="en-US"/>
              </w:rPr>
            </w:pPr>
            <w:r w:rsidRPr="008E546D">
              <w:rPr>
                <w:rFonts w:cs="Arial"/>
                <w:color w:val="auto"/>
                <w:lang w:eastAsia="en-US"/>
              </w:rPr>
              <w:t>Chair</w:t>
            </w:r>
          </w:p>
        </w:tc>
        <w:tc>
          <w:tcPr>
            <w:tcW w:w="2756" w:type="dxa"/>
            <w:shd w:val="clear" w:color="auto" w:fill="FDE9D9"/>
          </w:tcPr>
          <w:p w:rsidR="008E546D" w:rsidRPr="008E546D" w:rsidRDefault="008E546D" w:rsidP="008E546D">
            <w:pPr>
              <w:spacing w:after="0"/>
              <w:rPr>
                <w:rFonts w:cs="Arial"/>
                <w:color w:val="auto"/>
                <w:lang w:eastAsia="en-US"/>
              </w:rPr>
            </w:pPr>
            <w:r w:rsidRPr="008E546D">
              <w:rPr>
                <w:rFonts w:cs="Arial"/>
                <w:color w:val="auto"/>
                <w:lang w:eastAsia="en-US"/>
              </w:rPr>
              <w:t>Membership</w:t>
            </w:r>
          </w:p>
        </w:tc>
        <w:tc>
          <w:tcPr>
            <w:tcW w:w="2693" w:type="dxa"/>
            <w:shd w:val="clear" w:color="auto" w:fill="FDE9D9"/>
          </w:tcPr>
          <w:p w:rsidR="008E546D" w:rsidRPr="008E546D" w:rsidRDefault="008E546D" w:rsidP="008E546D">
            <w:pPr>
              <w:spacing w:after="0"/>
              <w:rPr>
                <w:rFonts w:cs="Arial"/>
                <w:color w:val="auto"/>
                <w:lang w:eastAsia="en-US"/>
              </w:rPr>
            </w:pPr>
            <w:r w:rsidRPr="008E546D">
              <w:rPr>
                <w:rFonts w:cs="Arial"/>
                <w:color w:val="auto"/>
                <w:lang w:eastAsia="en-US"/>
              </w:rPr>
              <w:t>Dates</w:t>
            </w:r>
          </w:p>
        </w:tc>
      </w:tr>
      <w:tr w:rsidR="008E546D" w:rsidRPr="008E546D" w:rsidTr="003A1E54">
        <w:trPr>
          <w:trHeight w:val="243"/>
        </w:trPr>
        <w:tc>
          <w:tcPr>
            <w:tcW w:w="1377" w:type="dxa"/>
            <w:vMerge w:val="restart"/>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A</w:t>
            </w:r>
          </w:p>
        </w:tc>
        <w:tc>
          <w:tcPr>
            <w:tcW w:w="1937" w:type="dxa"/>
            <w:vMerge w:val="restart"/>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GPL Chair</w:t>
            </w:r>
          </w:p>
        </w:tc>
        <w:tc>
          <w:tcPr>
            <w:tcW w:w="2756" w:type="dxa"/>
            <w:vMerge w:val="restart"/>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 xml:space="preserve"> Labour A</w:t>
            </w:r>
          </w:p>
          <w:p w:rsidR="008E546D" w:rsidRPr="008E546D" w:rsidRDefault="008E546D" w:rsidP="008E546D">
            <w:pPr>
              <w:spacing w:after="0"/>
              <w:rPr>
                <w:rFonts w:cs="Arial"/>
                <w:color w:val="auto"/>
                <w:lang w:eastAsia="en-US"/>
              </w:rPr>
            </w:pPr>
            <w:r w:rsidRPr="008E546D">
              <w:rPr>
                <w:rFonts w:cs="Arial"/>
                <w:color w:val="auto"/>
                <w:lang w:eastAsia="en-US"/>
              </w:rPr>
              <w:t xml:space="preserve"> Lib Dem A</w:t>
            </w:r>
          </w:p>
        </w:tc>
        <w:tc>
          <w:tcPr>
            <w:tcW w:w="2693" w:type="dxa"/>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30 May 2017</w:t>
            </w:r>
          </w:p>
        </w:tc>
      </w:tr>
      <w:tr w:rsidR="008E546D" w:rsidRPr="008E546D" w:rsidTr="003A1E54">
        <w:trPr>
          <w:trHeight w:val="242"/>
        </w:trPr>
        <w:tc>
          <w:tcPr>
            <w:tcW w:w="1377" w:type="dxa"/>
            <w:vMerge/>
            <w:shd w:val="clear" w:color="auto" w:fill="auto"/>
          </w:tcPr>
          <w:p w:rsidR="008E546D" w:rsidRPr="008E546D" w:rsidRDefault="008E546D" w:rsidP="008E546D">
            <w:pPr>
              <w:spacing w:after="0"/>
              <w:rPr>
                <w:rFonts w:cs="Arial"/>
                <w:color w:val="auto"/>
                <w:lang w:eastAsia="en-US"/>
              </w:rPr>
            </w:pPr>
          </w:p>
        </w:tc>
        <w:tc>
          <w:tcPr>
            <w:tcW w:w="1937" w:type="dxa"/>
            <w:vMerge/>
            <w:shd w:val="clear" w:color="auto" w:fill="auto"/>
          </w:tcPr>
          <w:p w:rsidR="008E546D" w:rsidRPr="008E546D" w:rsidRDefault="008E546D" w:rsidP="008E546D">
            <w:pPr>
              <w:spacing w:after="0"/>
              <w:rPr>
                <w:rFonts w:cs="Arial"/>
                <w:color w:val="auto"/>
                <w:lang w:eastAsia="en-US"/>
              </w:rPr>
            </w:pPr>
          </w:p>
        </w:tc>
        <w:tc>
          <w:tcPr>
            <w:tcW w:w="2756" w:type="dxa"/>
            <w:vMerge/>
            <w:shd w:val="clear" w:color="auto" w:fill="auto"/>
          </w:tcPr>
          <w:p w:rsidR="008E546D" w:rsidRPr="008E546D" w:rsidRDefault="008E546D" w:rsidP="008E546D">
            <w:pPr>
              <w:spacing w:after="0"/>
              <w:rPr>
                <w:rFonts w:cs="Arial"/>
                <w:color w:val="auto"/>
                <w:lang w:eastAsia="en-US"/>
              </w:rPr>
            </w:pPr>
          </w:p>
        </w:tc>
        <w:tc>
          <w:tcPr>
            <w:tcW w:w="2693" w:type="dxa"/>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 xml:space="preserve">30 Oct 2017 </w:t>
            </w:r>
          </w:p>
        </w:tc>
      </w:tr>
      <w:tr w:rsidR="008E546D" w:rsidRPr="008E546D" w:rsidTr="003A1E54">
        <w:trPr>
          <w:trHeight w:val="242"/>
        </w:trPr>
        <w:tc>
          <w:tcPr>
            <w:tcW w:w="1377" w:type="dxa"/>
            <w:vMerge/>
            <w:shd w:val="clear" w:color="auto" w:fill="auto"/>
          </w:tcPr>
          <w:p w:rsidR="008E546D" w:rsidRPr="008E546D" w:rsidRDefault="008E546D" w:rsidP="008E546D">
            <w:pPr>
              <w:spacing w:after="0"/>
              <w:rPr>
                <w:rFonts w:cs="Arial"/>
                <w:color w:val="auto"/>
                <w:lang w:eastAsia="en-US"/>
              </w:rPr>
            </w:pPr>
          </w:p>
        </w:tc>
        <w:tc>
          <w:tcPr>
            <w:tcW w:w="1937" w:type="dxa"/>
            <w:vMerge/>
            <w:shd w:val="clear" w:color="auto" w:fill="auto"/>
          </w:tcPr>
          <w:p w:rsidR="008E546D" w:rsidRPr="008E546D" w:rsidRDefault="008E546D" w:rsidP="008E546D">
            <w:pPr>
              <w:spacing w:after="0"/>
              <w:rPr>
                <w:rFonts w:cs="Arial"/>
                <w:color w:val="auto"/>
                <w:lang w:eastAsia="en-US"/>
              </w:rPr>
            </w:pPr>
          </w:p>
        </w:tc>
        <w:tc>
          <w:tcPr>
            <w:tcW w:w="2756" w:type="dxa"/>
            <w:vMerge/>
            <w:shd w:val="clear" w:color="auto" w:fill="auto"/>
          </w:tcPr>
          <w:p w:rsidR="008E546D" w:rsidRPr="008E546D" w:rsidRDefault="008E546D" w:rsidP="008E546D">
            <w:pPr>
              <w:spacing w:after="0"/>
              <w:rPr>
                <w:rFonts w:cs="Arial"/>
                <w:color w:val="auto"/>
                <w:lang w:eastAsia="en-US"/>
              </w:rPr>
            </w:pPr>
          </w:p>
        </w:tc>
        <w:tc>
          <w:tcPr>
            <w:tcW w:w="2693" w:type="dxa"/>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16 April 2018</w:t>
            </w:r>
          </w:p>
        </w:tc>
      </w:tr>
      <w:tr w:rsidR="008E546D" w:rsidRPr="008E546D" w:rsidTr="003A1E54">
        <w:trPr>
          <w:trHeight w:val="245"/>
        </w:trPr>
        <w:tc>
          <w:tcPr>
            <w:tcW w:w="1377" w:type="dxa"/>
            <w:vMerge w:val="restart"/>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B</w:t>
            </w:r>
          </w:p>
        </w:tc>
        <w:tc>
          <w:tcPr>
            <w:tcW w:w="1937" w:type="dxa"/>
            <w:vMerge w:val="restart"/>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GPL V Chair</w:t>
            </w:r>
          </w:p>
        </w:tc>
        <w:tc>
          <w:tcPr>
            <w:tcW w:w="2756" w:type="dxa"/>
            <w:vMerge w:val="restart"/>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 xml:space="preserve"> Labour B</w:t>
            </w:r>
          </w:p>
          <w:p w:rsidR="008E546D" w:rsidRPr="008E546D" w:rsidRDefault="008E546D" w:rsidP="008E546D">
            <w:pPr>
              <w:spacing w:after="0"/>
              <w:rPr>
                <w:rFonts w:cs="Arial"/>
                <w:color w:val="auto"/>
                <w:lang w:eastAsia="en-US"/>
              </w:rPr>
            </w:pPr>
            <w:r w:rsidRPr="008E546D">
              <w:rPr>
                <w:rFonts w:cs="Arial"/>
                <w:color w:val="auto"/>
                <w:lang w:eastAsia="en-US"/>
              </w:rPr>
              <w:t xml:space="preserve"> Lib Dem B</w:t>
            </w:r>
          </w:p>
        </w:tc>
        <w:tc>
          <w:tcPr>
            <w:tcW w:w="2693" w:type="dxa"/>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26 June 2017</w:t>
            </w:r>
          </w:p>
        </w:tc>
      </w:tr>
      <w:tr w:rsidR="008E546D" w:rsidRPr="008E546D" w:rsidTr="003A1E54">
        <w:trPr>
          <w:trHeight w:val="244"/>
        </w:trPr>
        <w:tc>
          <w:tcPr>
            <w:tcW w:w="1377" w:type="dxa"/>
            <w:vMerge/>
            <w:shd w:val="clear" w:color="auto" w:fill="auto"/>
          </w:tcPr>
          <w:p w:rsidR="008E546D" w:rsidRPr="008E546D" w:rsidRDefault="008E546D" w:rsidP="008E546D">
            <w:pPr>
              <w:spacing w:after="0"/>
              <w:rPr>
                <w:rFonts w:cs="Arial"/>
                <w:color w:val="auto"/>
                <w:lang w:eastAsia="en-US"/>
              </w:rPr>
            </w:pPr>
          </w:p>
        </w:tc>
        <w:tc>
          <w:tcPr>
            <w:tcW w:w="1937" w:type="dxa"/>
            <w:vMerge/>
            <w:shd w:val="clear" w:color="auto" w:fill="auto"/>
          </w:tcPr>
          <w:p w:rsidR="008E546D" w:rsidRPr="008E546D" w:rsidRDefault="008E546D" w:rsidP="008E546D">
            <w:pPr>
              <w:spacing w:after="0"/>
              <w:rPr>
                <w:rFonts w:cs="Arial"/>
                <w:color w:val="auto"/>
                <w:lang w:eastAsia="en-US"/>
              </w:rPr>
            </w:pPr>
          </w:p>
        </w:tc>
        <w:tc>
          <w:tcPr>
            <w:tcW w:w="2756" w:type="dxa"/>
            <w:vMerge/>
            <w:shd w:val="clear" w:color="auto" w:fill="auto"/>
          </w:tcPr>
          <w:p w:rsidR="008E546D" w:rsidRPr="008E546D" w:rsidRDefault="008E546D" w:rsidP="008E546D">
            <w:pPr>
              <w:spacing w:after="0"/>
              <w:rPr>
                <w:rFonts w:cs="Arial"/>
                <w:color w:val="auto"/>
                <w:lang w:eastAsia="en-US"/>
              </w:rPr>
            </w:pPr>
          </w:p>
        </w:tc>
        <w:tc>
          <w:tcPr>
            <w:tcW w:w="2693" w:type="dxa"/>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11 Dec 2017</w:t>
            </w:r>
          </w:p>
        </w:tc>
      </w:tr>
      <w:tr w:rsidR="008E546D" w:rsidRPr="008E546D" w:rsidTr="003A1E54">
        <w:trPr>
          <w:trHeight w:val="245"/>
        </w:trPr>
        <w:tc>
          <w:tcPr>
            <w:tcW w:w="1377" w:type="dxa"/>
            <w:vMerge w:val="restart"/>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C</w:t>
            </w:r>
          </w:p>
        </w:tc>
        <w:tc>
          <w:tcPr>
            <w:tcW w:w="1937" w:type="dxa"/>
            <w:vMerge w:val="restart"/>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GPL Chair</w:t>
            </w:r>
          </w:p>
        </w:tc>
        <w:tc>
          <w:tcPr>
            <w:tcW w:w="2756" w:type="dxa"/>
            <w:vMerge w:val="restart"/>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 xml:space="preserve"> Labour C</w:t>
            </w:r>
          </w:p>
          <w:p w:rsidR="008E546D" w:rsidRPr="008E546D" w:rsidRDefault="008E546D" w:rsidP="008E546D">
            <w:pPr>
              <w:spacing w:after="0"/>
              <w:rPr>
                <w:rFonts w:cs="Arial"/>
                <w:color w:val="auto"/>
                <w:lang w:eastAsia="en-US"/>
              </w:rPr>
            </w:pPr>
            <w:r w:rsidRPr="008E546D">
              <w:rPr>
                <w:rFonts w:cs="Arial"/>
                <w:color w:val="auto"/>
                <w:lang w:eastAsia="en-US"/>
              </w:rPr>
              <w:t xml:space="preserve"> Lib Dem A</w:t>
            </w:r>
          </w:p>
        </w:tc>
        <w:tc>
          <w:tcPr>
            <w:tcW w:w="2693" w:type="dxa"/>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7 Aug 2017</w:t>
            </w:r>
          </w:p>
        </w:tc>
      </w:tr>
      <w:tr w:rsidR="008E546D" w:rsidRPr="008E546D" w:rsidTr="003A1E54">
        <w:trPr>
          <w:trHeight w:val="244"/>
        </w:trPr>
        <w:tc>
          <w:tcPr>
            <w:tcW w:w="1377" w:type="dxa"/>
            <w:vMerge/>
            <w:shd w:val="clear" w:color="auto" w:fill="auto"/>
          </w:tcPr>
          <w:p w:rsidR="008E546D" w:rsidRPr="008E546D" w:rsidRDefault="008E546D" w:rsidP="008E546D">
            <w:pPr>
              <w:spacing w:after="0"/>
              <w:rPr>
                <w:rFonts w:cs="Arial"/>
                <w:color w:val="auto"/>
                <w:lang w:eastAsia="en-US"/>
              </w:rPr>
            </w:pPr>
          </w:p>
        </w:tc>
        <w:tc>
          <w:tcPr>
            <w:tcW w:w="1937" w:type="dxa"/>
            <w:vMerge/>
            <w:shd w:val="clear" w:color="auto" w:fill="auto"/>
          </w:tcPr>
          <w:p w:rsidR="008E546D" w:rsidRPr="008E546D" w:rsidRDefault="008E546D" w:rsidP="008E546D">
            <w:pPr>
              <w:spacing w:after="0"/>
              <w:rPr>
                <w:rFonts w:cs="Arial"/>
                <w:color w:val="auto"/>
                <w:lang w:eastAsia="en-US"/>
              </w:rPr>
            </w:pPr>
          </w:p>
        </w:tc>
        <w:tc>
          <w:tcPr>
            <w:tcW w:w="2756" w:type="dxa"/>
            <w:vMerge/>
            <w:shd w:val="clear" w:color="auto" w:fill="auto"/>
          </w:tcPr>
          <w:p w:rsidR="008E546D" w:rsidRPr="008E546D" w:rsidRDefault="008E546D" w:rsidP="008E546D">
            <w:pPr>
              <w:spacing w:after="0"/>
              <w:rPr>
                <w:rFonts w:cs="Arial"/>
                <w:color w:val="auto"/>
                <w:lang w:eastAsia="en-US"/>
              </w:rPr>
            </w:pPr>
          </w:p>
        </w:tc>
        <w:tc>
          <w:tcPr>
            <w:tcW w:w="2693" w:type="dxa"/>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22 Jan 2018</w:t>
            </w:r>
          </w:p>
        </w:tc>
      </w:tr>
      <w:tr w:rsidR="008E546D" w:rsidRPr="008E546D" w:rsidTr="003A1E54">
        <w:trPr>
          <w:trHeight w:val="245"/>
        </w:trPr>
        <w:tc>
          <w:tcPr>
            <w:tcW w:w="1377" w:type="dxa"/>
            <w:vMerge w:val="restart"/>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D</w:t>
            </w:r>
          </w:p>
        </w:tc>
        <w:tc>
          <w:tcPr>
            <w:tcW w:w="1937" w:type="dxa"/>
            <w:vMerge w:val="restart"/>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GPL V Chair</w:t>
            </w:r>
          </w:p>
        </w:tc>
        <w:tc>
          <w:tcPr>
            <w:tcW w:w="2756" w:type="dxa"/>
            <w:vMerge w:val="restart"/>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 xml:space="preserve"> Labour D</w:t>
            </w:r>
          </w:p>
          <w:p w:rsidR="008E546D" w:rsidRPr="008E546D" w:rsidRDefault="008E546D" w:rsidP="008E546D">
            <w:pPr>
              <w:spacing w:after="0"/>
              <w:rPr>
                <w:rFonts w:cs="Arial"/>
                <w:color w:val="auto"/>
                <w:lang w:eastAsia="en-US"/>
              </w:rPr>
            </w:pPr>
            <w:r w:rsidRPr="008E546D">
              <w:rPr>
                <w:rFonts w:cs="Arial"/>
                <w:color w:val="auto"/>
                <w:lang w:eastAsia="en-US"/>
              </w:rPr>
              <w:t xml:space="preserve"> Lib Dem B</w:t>
            </w:r>
          </w:p>
        </w:tc>
        <w:tc>
          <w:tcPr>
            <w:tcW w:w="2693" w:type="dxa"/>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18 Sept 2017</w:t>
            </w:r>
          </w:p>
        </w:tc>
      </w:tr>
      <w:tr w:rsidR="008E546D" w:rsidRPr="008E546D" w:rsidTr="003A1E54">
        <w:trPr>
          <w:trHeight w:val="244"/>
        </w:trPr>
        <w:tc>
          <w:tcPr>
            <w:tcW w:w="1377" w:type="dxa"/>
            <w:vMerge/>
            <w:shd w:val="clear" w:color="auto" w:fill="auto"/>
          </w:tcPr>
          <w:p w:rsidR="008E546D" w:rsidRPr="008E546D" w:rsidRDefault="008E546D" w:rsidP="008E546D">
            <w:pPr>
              <w:spacing w:after="0"/>
              <w:rPr>
                <w:rFonts w:cs="Arial"/>
                <w:color w:val="auto"/>
                <w:lang w:eastAsia="en-US"/>
              </w:rPr>
            </w:pPr>
          </w:p>
        </w:tc>
        <w:tc>
          <w:tcPr>
            <w:tcW w:w="1937" w:type="dxa"/>
            <w:vMerge/>
            <w:shd w:val="clear" w:color="auto" w:fill="auto"/>
          </w:tcPr>
          <w:p w:rsidR="008E546D" w:rsidRPr="008E546D" w:rsidRDefault="008E546D" w:rsidP="008E546D">
            <w:pPr>
              <w:spacing w:after="0"/>
              <w:rPr>
                <w:rFonts w:cs="Arial"/>
                <w:color w:val="auto"/>
                <w:lang w:eastAsia="en-US"/>
              </w:rPr>
            </w:pPr>
          </w:p>
        </w:tc>
        <w:tc>
          <w:tcPr>
            <w:tcW w:w="2756" w:type="dxa"/>
            <w:vMerge/>
            <w:shd w:val="clear" w:color="auto" w:fill="auto"/>
          </w:tcPr>
          <w:p w:rsidR="008E546D" w:rsidRPr="008E546D" w:rsidRDefault="008E546D" w:rsidP="008E546D">
            <w:pPr>
              <w:numPr>
                <w:ilvl w:val="0"/>
                <w:numId w:val="37"/>
              </w:numPr>
              <w:spacing w:after="0"/>
              <w:rPr>
                <w:rFonts w:cs="Arial"/>
                <w:color w:val="auto"/>
                <w:lang w:eastAsia="en-US"/>
              </w:rPr>
            </w:pPr>
          </w:p>
        </w:tc>
        <w:tc>
          <w:tcPr>
            <w:tcW w:w="2693" w:type="dxa"/>
            <w:shd w:val="clear" w:color="auto" w:fill="auto"/>
          </w:tcPr>
          <w:p w:rsidR="008E546D" w:rsidRPr="008E546D" w:rsidRDefault="008E546D" w:rsidP="008E546D">
            <w:pPr>
              <w:spacing w:after="0"/>
              <w:rPr>
                <w:rFonts w:cs="Arial"/>
                <w:color w:val="auto"/>
                <w:lang w:eastAsia="en-US"/>
              </w:rPr>
            </w:pPr>
            <w:r w:rsidRPr="008E546D">
              <w:rPr>
                <w:rFonts w:cs="Arial"/>
                <w:color w:val="auto"/>
                <w:lang w:eastAsia="en-US"/>
              </w:rPr>
              <w:t>5 Mar 2018</w:t>
            </w:r>
          </w:p>
        </w:tc>
      </w:tr>
    </w:tbl>
    <w:p w:rsidR="008E546D" w:rsidRPr="008E546D" w:rsidRDefault="008E546D" w:rsidP="008E546D">
      <w:pPr>
        <w:spacing w:after="0"/>
        <w:ind w:left="360"/>
        <w:rPr>
          <w:rFonts w:cs="Arial"/>
          <w:color w:val="auto"/>
          <w:lang w:eastAsia="en-US"/>
        </w:rPr>
      </w:pPr>
    </w:p>
    <w:p w:rsidR="00DC5712" w:rsidRDefault="00DC5712" w:rsidP="003A1E54">
      <w:pPr>
        <w:pStyle w:val="ListParagraph"/>
        <w:tabs>
          <w:tab w:val="clear" w:pos="426"/>
        </w:tabs>
        <w:ind w:left="567" w:hanging="567"/>
        <w:rPr>
          <w:lang w:eastAsia="en-US"/>
        </w:rPr>
      </w:pPr>
      <w:r w:rsidRPr="008E546D">
        <w:rPr>
          <w:lang w:eastAsia="en-US"/>
        </w:rPr>
        <w:t xml:space="preserve">To </w:t>
      </w:r>
      <w:r>
        <w:rPr>
          <w:lang w:eastAsia="en-US"/>
        </w:rPr>
        <w:t xml:space="preserve">maximise </w:t>
      </w:r>
      <w:r w:rsidRPr="008E546D">
        <w:rPr>
          <w:lang w:eastAsia="en-US"/>
        </w:rPr>
        <w:t xml:space="preserve">the number of members involved in discharging the casework </w:t>
      </w:r>
      <w:r>
        <w:rPr>
          <w:lang w:eastAsia="en-US"/>
        </w:rPr>
        <w:t>i</w:t>
      </w:r>
      <w:r w:rsidRPr="008E546D">
        <w:rPr>
          <w:lang w:eastAsia="en-US"/>
        </w:rPr>
        <w:t>t is proposed that we create four sub-committees operating under the same terms of reference. These sub-committees would have different membership and would rotate to spread the workload through the year</w:t>
      </w:r>
      <w:r>
        <w:rPr>
          <w:lang w:eastAsia="en-US"/>
        </w:rPr>
        <w:t>.</w:t>
      </w:r>
    </w:p>
    <w:p w:rsidR="007C75E5" w:rsidRDefault="008E546D" w:rsidP="003A1E54">
      <w:pPr>
        <w:pStyle w:val="bParagraphtext"/>
        <w:tabs>
          <w:tab w:val="clear" w:pos="426"/>
        </w:tabs>
        <w:ind w:left="567" w:hanging="567"/>
        <w:rPr>
          <w:lang w:eastAsia="en-US"/>
        </w:rPr>
      </w:pPr>
      <w:r w:rsidRPr="008E546D">
        <w:rPr>
          <w:lang w:eastAsia="en-US"/>
        </w:rPr>
        <w:t xml:space="preserve">If the 2016/17 Chair and Vice Chair are re-appointed to GPL, it is recommended that they would each sit on 2 </w:t>
      </w:r>
      <w:r w:rsidR="00DC5712">
        <w:rPr>
          <w:lang w:eastAsia="en-US"/>
        </w:rPr>
        <w:t xml:space="preserve">of the 4 </w:t>
      </w:r>
      <w:r w:rsidRPr="008E546D">
        <w:rPr>
          <w:lang w:eastAsia="en-US"/>
        </w:rPr>
        <w:t>sub-committees as Chair to provide experience and continuity. Both Chair and Vice Chair currently sit on the HCPH sub-committee and are both very experienced in discharging casework.  As other members gain in experience and confidence it might be possible to relax this principle.  It should not be a requirement for the Chair or Vice Chair to attend every sub-committee meeting and substitution from the GPL will be allowed.</w:t>
      </w:r>
    </w:p>
    <w:p w:rsidR="008E546D" w:rsidRPr="008E546D" w:rsidRDefault="008E546D" w:rsidP="003A1E54">
      <w:pPr>
        <w:spacing w:after="0"/>
        <w:ind w:left="567" w:hanging="567"/>
        <w:rPr>
          <w:rFonts w:cs="Arial"/>
          <w:color w:val="FF0000"/>
          <w:lang w:eastAsia="en-US"/>
        </w:rPr>
      </w:pPr>
    </w:p>
    <w:p w:rsidR="007C75E5" w:rsidRPr="003A1E54" w:rsidRDefault="007C75E5" w:rsidP="003A1E54">
      <w:pPr>
        <w:pStyle w:val="bParagraphtext"/>
        <w:numPr>
          <w:ilvl w:val="0"/>
          <w:numId w:val="0"/>
        </w:numPr>
        <w:tabs>
          <w:tab w:val="clear" w:pos="426"/>
        </w:tabs>
        <w:ind w:left="567" w:hanging="567"/>
        <w:rPr>
          <w:b/>
          <w:color w:val="auto"/>
          <w:lang w:eastAsia="en-US"/>
        </w:rPr>
      </w:pPr>
      <w:r w:rsidRPr="003A1E54">
        <w:rPr>
          <w:b/>
          <w:color w:val="auto"/>
          <w:lang w:eastAsia="en-US"/>
        </w:rPr>
        <w:t xml:space="preserve">Other </w:t>
      </w:r>
      <w:r w:rsidR="003A1E54" w:rsidRPr="003A1E54">
        <w:rPr>
          <w:b/>
          <w:color w:val="auto"/>
          <w:lang w:eastAsia="en-US"/>
        </w:rPr>
        <w:t xml:space="preserve">issues </w:t>
      </w:r>
    </w:p>
    <w:p w:rsidR="007C75E5" w:rsidRPr="008E546D" w:rsidRDefault="007C75E5" w:rsidP="003A1E54">
      <w:pPr>
        <w:pStyle w:val="ListParagraph"/>
        <w:tabs>
          <w:tab w:val="clear" w:pos="426"/>
        </w:tabs>
        <w:ind w:left="567" w:hanging="567"/>
        <w:rPr>
          <w:lang w:eastAsia="en-US"/>
        </w:rPr>
      </w:pPr>
      <w:r w:rsidRPr="008E546D">
        <w:rPr>
          <w:lang w:eastAsia="en-US"/>
        </w:rPr>
        <w:t>Allocating meeting dates for each sub-committee means that members can diarise their meetings. If a meeting is cancelled it would mean that the particular sub-committee would not meet and the next meeting would be as scheduled.</w:t>
      </w:r>
    </w:p>
    <w:p w:rsidR="007C75E5" w:rsidRPr="008E546D" w:rsidRDefault="007C75E5" w:rsidP="003A1E54">
      <w:pPr>
        <w:pStyle w:val="bParagraphtext"/>
        <w:tabs>
          <w:tab w:val="clear" w:pos="426"/>
        </w:tabs>
        <w:ind w:left="567" w:hanging="567"/>
        <w:rPr>
          <w:lang w:eastAsia="en-US"/>
        </w:rPr>
      </w:pPr>
      <w:r w:rsidRPr="008E546D">
        <w:rPr>
          <w:lang w:eastAsia="en-US"/>
        </w:rPr>
        <w:lastRenderedPageBreak/>
        <w:t>Dates have been set for meetings of the Su</w:t>
      </w:r>
      <w:r>
        <w:rPr>
          <w:lang w:eastAsia="en-US"/>
        </w:rPr>
        <w:t xml:space="preserve">b-Committees and are set out in </w:t>
      </w:r>
      <w:r w:rsidRPr="008E546D">
        <w:rPr>
          <w:rFonts w:cs="Arial"/>
          <w:color w:val="auto"/>
          <w:lang w:eastAsia="en-US"/>
        </w:rPr>
        <w:t xml:space="preserve">Appendix </w:t>
      </w:r>
      <w:r>
        <w:rPr>
          <w:rFonts w:cs="Arial"/>
          <w:color w:val="auto"/>
          <w:lang w:eastAsia="en-US"/>
        </w:rPr>
        <w:t>1</w:t>
      </w:r>
      <w:r w:rsidRPr="008E546D">
        <w:rPr>
          <w:rFonts w:cs="Arial"/>
          <w:color w:val="auto"/>
          <w:lang w:eastAsia="en-US"/>
        </w:rPr>
        <w:t>.  The scheduled start time is 5.30pm.</w:t>
      </w:r>
    </w:p>
    <w:p w:rsidR="00D6528A" w:rsidRPr="001356F1" w:rsidRDefault="00D6528A"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r w:rsidR="008E546D">
              <w:rPr>
                <w:b/>
              </w:rPr>
              <w:t>s</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A1E54" w:rsidP="003A1E54">
            <w:r>
              <w:t xml:space="preserve">Sarah Claridge / </w:t>
            </w:r>
            <w:r w:rsidR="008E546D">
              <w:t xml:space="preserve">Catherine Phythian </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E546D" w:rsidP="00A46E98">
            <w:r>
              <w:t>Committee and Member Services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E546D" w:rsidP="00887493">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8E546D">
            <w:r w:rsidRPr="001356F1">
              <w:t xml:space="preserve">01865 </w:t>
            </w:r>
            <w:r w:rsidR="008E546D">
              <w:t>252402</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8E546D" w:rsidRDefault="0051434C" w:rsidP="00A46E98">
            <w:pPr>
              <w:rPr>
                <w:rStyle w:val="Hyperlink"/>
              </w:rPr>
            </w:pPr>
            <w:hyperlink r:id="rId9" w:history="1">
              <w:r w:rsidR="008E546D" w:rsidRPr="00F016DB">
                <w:rPr>
                  <w:rStyle w:val="Hyperlink"/>
                </w:rPr>
                <w:t>sclaridge@oxford.gov.uk</w:t>
              </w:r>
            </w:hyperlink>
          </w:p>
          <w:p w:rsidR="003A1E54" w:rsidRPr="001356F1" w:rsidRDefault="0051434C" w:rsidP="00A46E98">
            <w:pPr>
              <w:rPr>
                <w:rStyle w:val="Hyperlink"/>
                <w:color w:val="000000"/>
              </w:rPr>
            </w:pPr>
            <w:hyperlink r:id="rId10" w:history="1">
              <w:r w:rsidR="003A1E54" w:rsidRPr="00F016DB">
                <w:rPr>
                  <w:rStyle w:val="Hyperlink"/>
                </w:rPr>
                <w:t>cphythian@oxford.gov.uk</w:t>
              </w:r>
            </w:hyperlink>
          </w:p>
        </w:tc>
      </w:tr>
    </w:tbl>
    <w:p w:rsidR="004456DD" w:rsidRPr="009E51FC" w:rsidRDefault="004456DD" w:rsidP="0093067A"/>
    <w:sectPr w:rsidR="004456DD" w:rsidRPr="009E51FC" w:rsidSect="00BC200B">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86" w:rsidRDefault="00EF3086" w:rsidP="004A6D2F">
      <w:r>
        <w:separator/>
      </w:r>
    </w:p>
  </w:endnote>
  <w:endnote w:type="continuationSeparator" w:id="0">
    <w:p w:rsidR="00EF3086" w:rsidRDefault="00EF308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B8" w:rsidRDefault="00A668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86" w:rsidRDefault="00EF3086" w:rsidP="004A6D2F">
      <w:r>
        <w:separator/>
      </w:r>
    </w:p>
  </w:footnote>
  <w:footnote w:type="continuationSeparator" w:id="0">
    <w:p w:rsidR="00EF3086" w:rsidRDefault="00EF308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B8" w:rsidRDefault="00A66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B8" w:rsidRDefault="00A668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E5758"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74108E4"/>
    <w:multiLevelType w:val="hybridMultilevel"/>
    <w:tmpl w:val="E70C4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BA26A41"/>
    <w:multiLevelType w:val="hybridMultilevel"/>
    <w:tmpl w:val="0AA0F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FDC4FEE"/>
    <w:multiLevelType w:val="hybridMultilevel"/>
    <w:tmpl w:val="6AB88A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C07046"/>
    <w:multiLevelType w:val="hybridMultilevel"/>
    <w:tmpl w:val="8F8C6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4D6272"/>
    <w:multiLevelType w:val="hybridMultilevel"/>
    <w:tmpl w:val="84005CD6"/>
    <w:lvl w:ilvl="0" w:tplc="98C2BE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390F71"/>
    <w:multiLevelType w:val="hybridMultilevel"/>
    <w:tmpl w:val="3F22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B9227F1"/>
    <w:multiLevelType w:val="hybridMultilevel"/>
    <w:tmpl w:val="D8BC2502"/>
    <w:lvl w:ilvl="0" w:tplc="24D8E4A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286E83"/>
    <w:multiLevelType w:val="hybridMultilevel"/>
    <w:tmpl w:val="BDD6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22831"/>
    <w:multiLevelType w:val="multilevel"/>
    <w:tmpl w:val="43D6D2FA"/>
    <w:numStyleLink w:val="StyleBulletedSymbolsymbolLeft063cmHanging063cm"/>
  </w:abstractNum>
  <w:abstractNum w:abstractNumId="37">
    <w:nsid w:val="68F42DF0"/>
    <w:multiLevelType w:val="hybridMultilevel"/>
    <w:tmpl w:val="F4FC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6AC7379"/>
    <w:multiLevelType w:val="hybridMultilevel"/>
    <w:tmpl w:val="F08A7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8365C6"/>
    <w:multiLevelType w:val="multilevel"/>
    <w:tmpl w:val="17DA65C2"/>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0"/>
  </w:num>
  <w:num w:numId="2">
    <w:abstractNumId w:val="39"/>
  </w:num>
  <w:num w:numId="3">
    <w:abstractNumId w:val="25"/>
  </w:num>
  <w:num w:numId="4">
    <w:abstractNumId w:val="20"/>
  </w:num>
  <w:num w:numId="5">
    <w:abstractNumId w:val="34"/>
  </w:num>
  <w:num w:numId="6">
    <w:abstractNumId w:val="40"/>
  </w:num>
  <w:num w:numId="7">
    <w:abstractNumId w:val="24"/>
  </w:num>
  <w:num w:numId="8">
    <w:abstractNumId w:val="22"/>
  </w:num>
  <w:num w:numId="9">
    <w:abstractNumId w:val="14"/>
  </w:num>
  <w:num w:numId="10">
    <w:abstractNumId w:val="17"/>
  </w:num>
  <w:num w:numId="11">
    <w:abstractNumId w:val="27"/>
  </w:num>
  <w:num w:numId="12">
    <w:abstractNumId w:val="26"/>
  </w:num>
  <w:num w:numId="13">
    <w:abstractNumId w:val="10"/>
  </w:num>
  <w:num w:numId="14">
    <w:abstractNumId w:val="42"/>
  </w:num>
  <w:num w:numId="15">
    <w:abstractNumId w:val="18"/>
  </w:num>
  <w:num w:numId="16">
    <w:abstractNumId w:val="11"/>
  </w:num>
  <w:num w:numId="17">
    <w:abstractNumId w:val="32"/>
  </w:num>
  <w:num w:numId="18">
    <w:abstractNumId w:val="12"/>
  </w:num>
  <w:num w:numId="19">
    <w:abstractNumId w:val="36"/>
  </w:num>
  <w:num w:numId="20">
    <w:abstractNumId w:val="19"/>
  </w:num>
  <w:num w:numId="21">
    <w:abstractNumId w:val="23"/>
  </w:num>
  <w:num w:numId="22">
    <w:abstractNumId w:val="15"/>
  </w:num>
  <w:num w:numId="23">
    <w:abstractNumId w:val="38"/>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28"/>
  </w:num>
  <w:num w:numId="36">
    <w:abstractNumId w:val="37"/>
  </w:num>
  <w:num w:numId="37">
    <w:abstractNumId w:val="41"/>
  </w:num>
  <w:num w:numId="38">
    <w:abstractNumId w:val="21"/>
  </w:num>
  <w:num w:numId="39">
    <w:abstractNumId w:val="16"/>
  </w:num>
  <w:num w:numId="40">
    <w:abstractNumId w:val="33"/>
  </w:num>
  <w:num w:numId="41">
    <w:abstractNumId w:val="31"/>
  </w:num>
  <w:num w:numId="42">
    <w:abstractNumId w:val="29"/>
  </w:num>
  <w:num w:numId="43">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117D4"/>
    <w:rsid w:val="00015AFD"/>
    <w:rsid w:val="00020A65"/>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9171C"/>
    <w:rsid w:val="001A011E"/>
    <w:rsid w:val="001A066A"/>
    <w:rsid w:val="001A13E6"/>
    <w:rsid w:val="001A5731"/>
    <w:rsid w:val="001B42C3"/>
    <w:rsid w:val="001C5D5E"/>
    <w:rsid w:val="001D678D"/>
    <w:rsid w:val="001E03F8"/>
    <w:rsid w:val="001E1678"/>
    <w:rsid w:val="001E3376"/>
    <w:rsid w:val="001E3547"/>
    <w:rsid w:val="001F7967"/>
    <w:rsid w:val="002069B3"/>
    <w:rsid w:val="00226073"/>
    <w:rsid w:val="002329CF"/>
    <w:rsid w:val="00232F5B"/>
    <w:rsid w:val="00247C29"/>
    <w:rsid w:val="00260467"/>
    <w:rsid w:val="00263EA3"/>
    <w:rsid w:val="00284F85"/>
    <w:rsid w:val="00290915"/>
    <w:rsid w:val="002A22E2"/>
    <w:rsid w:val="002C64F7"/>
    <w:rsid w:val="002F41F2"/>
    <w:rsid w:val="00301BF3"/>
    <w:rsid w:val="0030208D"/>
    <w:rsid w:val="003038E5"/>
    <w:rsid w:val="00323418"/>
    <w:rsid w:val="003357BF"/>
    <w:rsid w:val="003641AD"/>
    <w:rsid w:val="00364FAD"/>
    <w:rsid w:val="0036738F"/>
    <w:rsid w:val="0036759C"/>
    <w:rsid w:val="00367AE5"/>
    <w:rsid w:val="00367D71"/>
    <w:rsid w:val="0038150A"/>
    <w:rsid w:val="003A1E54"/>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2626"/>
    <w:rsid w:val="004D481B"/>
    <w:rsid w:val="004D6E26"/>
    <w:rsid w:val="004D77D3"/>
    <w:rsid w:val="004E2959"/>
    <w:rsid w:val="004F20EF"/>
    <w:rsid w:val="0050321C"/>
    <w:rsid w:val="0051434C"/>
    <w:rsid w:val="0054712D"/>
    <w:rsid w:val="00547EF6"/>
    <w:rsid w:val="005570B5"/>
    <w:rsid w:val="00567E18"/>
    <w:rsid w:val="00575F5F"/>
    <w:rsid w:val="00581805"/>
    <w:rsid w:val="00585F76"/>
    <w:rsid w:val="005A34E4"/>
    <w:rsid w:val="005A5C51"/>
    <w:rsid w:val="005B17F2"/>
    <w:rsid w:val="005B7FB0"/>
    <w:rsid w:val="005C35A5"/>
    <w:rsid w:val="005C577C"/>
    <w:rsid w:val="005C623F"/>
    <w:rsid w:val="005D0621"/>
    <w:rsid w:val="005D1E27"/>
    <w:rsid w:val="005D2A3E"/>
    <w:rsid w:val="005E022E"/>
    <w:rsid w:val="005E5215"/>
    <w:rsid w:val="005F7F7E"/>
    <w:rsid w:val="0060276A"/>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13675"/>
    <w:rsid w:val="00715823"/>
    <w:rsid w:val="00737B93"/>
    <w:rsid w:val="00745BF0"/>
    <w:rsid w:val="007615FE"/>
    <w:rsid w:val="0076655C"/>
    <w:rsid w:val="007742DC"/>
    <w:rsid w:val="00791437"/>
    <w:rsid w:val="007A6122"/>
    <w:rsid w:val="007B0C2C"/>
    <w:rsid w:val="007B278E"/>
    <w:rsid w:val="007C5C23"/>
    <w:rsid w:val="007C75E5"/>
    <w:rsid w:val="007E2A26"/>
    <w:rsid w:val="007F2348"/>
    <w:rsid w:val="00803F07"/>
    <w:rsid w:val="0080749A"/>
    <w:rsid w:val="00812ABD"/>
    <w:rsid w:val="00821FB8"/>
    <w:rsid w:val="00822518"/>
    <w:rsid w:val="00822ACD"/>
    <w:rsid w:val="00855C66"/>
    <w:rsid w:val="00871EE4"/>
    <w:rsid w:val="00887493"/>
    <w:rsid w:val="008A43AA"/>
    <w:rsid w:val="008B293F"/>
    <w:rsid w:val="008B7371"/>
    <w:rsid w:val="008D3DDB"/>
    <w:rsid w:val="008E546D"/>
    <w:rsid w:val="008F573F"/>
    <w:rsid w:val="009034EC"/>
    <w:rsid w:val="00927025"/>
    <w:rsid w:val="0093067A"/>
    <w:rsid w:val="00941C60"/>
    <w:rsid w:val="00941FD1"/>
    <w:rsid w:val="00966D42"/>
    <w:rsid w:val="00971689"/>
    <w:rsid w:val="00973E90"/>
    <w:rsid w:val="00975B07"/>
    <w:rsid w:val="00980B4A"/>
    <w:rsid w:val="009E3D0A"/>
    <w:rsid w:val="009E51FC"/>
    <w:rsid w:val="009F1D28"/>
    <w:rsid w:val="009F7618"/>
    <w:rsid w:val="00A04D23"/>
    <w:rsid w:val="00A06766"/>
    <w:rsid w:val="00A11E82"/>
    <w:rsid w:val="00A13765"/>
    <w:rsid w:val="00A21B12"/>
    <w:rsid w:val="00A23F80"/>
    <w:rsid w:val="00A4626B"/>
    <w:rsid w:val="00A46E98"/>
    <w:rsid w:val="00A6352B"/>
    <w:rsid w:val="00A668B8"/>
    <w:rsid w:val="00A701B5"/>
    <w:rsid w:val="00A714BB"/>
    <w:rsid w:val="00A77147"/>
    <w:rsid w:val="00A92D8F"/>
    <w:rsid w:val="00AB2988"/>
    <w:rsid w:val="00AB7999"/>
    <w:rsid w:val="00AD3292"/>
    <w:rsid w:val="00AE7AF0"/>
    <w:rsid w:val="00B500CA"/>
    <w:rsid w:val="00B70D0C"/>
    <w:rsid w:val="00B86314"/>
    <w:rsid w:val="00BA1C2E"/>
    <w:rsid w:val="00BC200B"/>
    <w:rsid w:val="00BC4756"/>
    <w:rsid w:val="00BC69A4"/>
    <w:rsid w:val="00BD370E"/>
    <w:rsid w:val="00BE0680"/>
    <w:rsid w:val="00BE305F"/>
    <w:rsid w:val="00BE7BA3"/>
    <w:rsid w:val="00BF5682"/>
    <w:rsid w:val="00BF7B09"/>
    <w:rsid w:val="00C20A95"/>
    <w:rsid w:val="00C2692F"/>
    <w:rsid w:val="00C3207C"/>
    <w:rsid w:val="00C400E1"/>
    <w:rsid w:val="00C41187"/>
    <w:rsid w:val="00C44BAE"/>
    <w:rsid w:val="00C517E3"/>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275F4"/>
    <w:rsid w:val="00D474CF"/>
    <w:rsid w:val="00D5547E"/>
    <w:rsid w:val="00D57F03"/>
    <w:rsid w:val="00D623A5"/>
    <w:rsid w:val="00D6528A"/>
    <w:rsid w:val="00D869A1"/>
    <w:rsid w:val="00DA413F"/>
    <w:rsid w:val="00DA4584"/>
    <w:rsid w:val="00DA614B"/>
    <w:rsid w:val="00DC1B71"/>
    <w:rsid w:val="00DC3060"/>
    <w:rsid w:val="00DC5712"/>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F3086"/>
    <w:rsid w:val="00EF44AB"/>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phythian@oxford.gov.uk" TargetMode="External"/><Relationship Id="rId4" Type="http://schemas.microsoft.com/office/2007/relationships/stylesWithEffects" Target="stylesWithEffects.xml"/><Relationship Id="rId9" Type="http://schemas.openxmlformats.org/officeDocument/2006/relationships/hyperlink" Target="mailto:sclaridge@oxford.gov.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6B232-EEF5-4E82-B657-41A0D03F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3</TotalTime>
  <Pages>5</Pages>
  <Words>1393</Words>
  <Characters>7238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sclaridge</cp:lastModifiedBy>
  <cp:revision>4</cp:revision>
  <cp:lastPrinted>2015-07-03T13:50:00Z</cp:lastPrinted>
  <dcterms:created xsi:type="dcterms:W3CDTF">2017-04-27T13:06:00Z</dcterms:created>
  <dcterms:modified xsi:type="dcterms:W3CDTF">2017-04-27T13:08:00Z</dcterms:modified>
</cp:coreProperties>
</file>